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A67F58" w14:paraId="25102043" w14:textId="77777777">
        <w:tc>
          <w:tcPr>
            <w:tcW w:w="9175" w:type="dxa"/>
          </w:tcPr>
          <w:p w14:paraId="1844DE48" w14:textId="7D04BA1F" w:rsidR="00A67F58" w:rsidRPr="00984CF1" w:rsidRDefault="0087698A" w:rsidP="00D825C9">
            <w:pPr>
              <w:pStyle w:val="papertitle"/>
              <w:spacing w:after="0"/>
              <w:ind w:left="0"/>
              <w:rPr>
                <w:rFonts w:ascii="Arial" w:hAnsi="Arial" w:cs="Arial"/>
                <w:b/>
                <w:sz w:val="40"/>
                <w:szCs w:val="40"/>
              </w:rPr>
            </w:pPr>
            <w:r>
              <w:rPr>
                <w:rFonts w:ascii="Arial" w:hAnsi="Arial" w:cs="Arial"/>
                <w:b/>
                <w:color w:val="2E74B5" w:themeColor="accent1" w:themeShade="BF"/>
                <w:sz w:val="40"/>
                <w:szCs w:val="40"/>
              </w:rPr>
              <w:t xml:space="preserve">Business </w:t>
            </w:r>
            <w:r w:rsidR="00354D9D">
              <w:rPr>
                <w:rFonts w:ascii="Arial" w:hAnsi="Arial" w:cs="Arial"/>
                <w:b/>
                <w:color w:val="2E74B5" w:themeColor="accent1" w:themeShade="BF"/>
                <w:sz w:val="40"/>
                <w:szCs w:val="40"/>
              </w:rPr>
              <w:t>F</w:t>
            </w:r>
            <w:r>
              <w:rPr>
                <w:rFonts w:ascii="Arial" w:hAnsi="Arial" w:cs="Arial"/>
                <w:b/>
                <w:color w:val="2E74B5" w:themeColor="accent1" w:themeShade="BF"/>
                <w:sz w:val="40"/>
                <w:szCs w:val="40"/>
              </w:rPr>
              <w:t xml:space="preserve">easibility </w:t>
            </w:r>
            <w:r w:rsidR="00354D9D">
              <w:rPr>
                <w:rFonts w:ascii="Arial" w:hAnsi="Arial" w:cs="Arial"/>
                <w:b/>
                <w:color w:val="2E74B5" w:themeColor="accent1" w:themeShade="BF"/>
                <w:sz w:val="40"/>
                <w:szCs w:val="40"/>
              </w:rPr>
              <w:t>S</w:t>
            </w:r>
            <w:r>
              <w:rPr>
                <w:rFonts w:ascii="Arial" w:hAnsi="Arial" w:cs="Arial"/>
                <w:b/>
                <w:color w:val="2E74B5" w:themeColor="accent1" w:themeShade="BF"/>
                <w:sz w:val="40"/>
                <w:szCs w:val="40"/>
              </w:rPr>
              <w:t xml:space="preserve">tudy of Amplang MSME </w:t>
            </w:r>
            <w:r w:rsidR="00354D9D">
              <w:rPr>
                <w:rFonts w:ascii="Arial" w:hAnsi="Arial" w:cs="Arial"/>
                <w:b/>
                <w:color w:val="2E74B5" w:themeColor="accent1" w:themeShade="BF"/>
                <w:sz w:val="40"/>
                <w:szCs w:val="40"/>
              </w:rPr>
              <w:t>(</w:t>
            </w:r>
            <w:r>
              <w:rPr>
                <w:rFonts w:ascii="Arial" w:hAnsi="Arial" w:cs="Arial"/>
                <w:b/>
                <w:color w:val="2E74B5" w:themeColor="accent1" w:themeShade="BF"/>
                <w:sz w:val="40"/>
                <w:szCs w:val="40"/>
              </w:rPr>
              <w:t xml:space="preserve">Case </w:t>
            </w:r>
            <w:r w:rsidR="00F820A4">
              <w:rPr>
                <w:rFonts w:ascii="Arial" w:hAnsi="Arial" w:cs="Arial"/>
                <w:b/>
                <w:color w:val="2E74B5" w:themeColor="accent1" w:themeShade="BF"/>
                <w:sz w:val="40"/>
                <w:szCs w:val="40"/>
              </w:rPr>
              <w:t>Study: Amplang Sinar Baru, Samarinda</w:t>
            </w:r>
            <w:r w:rsidR="00354D9D">
              <w:rPr>
                <w:rFonts w:ascii="Arial" w:hAnsi="Arial" w:cs="Arial"/>
                <w:b/>
                <w:color w:val="2E74B5" w:themeColor="accent1" w:themeShade="BF"/>
                <w:sz w:val="40"/>
                <w:szCs w:val="40"/>
              </w:rPr>
              <w:t>)</w:t>
            </w:r>
          </w:p>
        </w:tc>
      </w:tr>
      <w:tr w:rsidR="00A67F58" w14:paraId="7080B227" w14:textId="77777777">
        <w:tc>
          <w:tcPr>
            <w:tcW w:w="9175" w:type="dxa"/>
          </w:tcPr>
          <w:p w14:paraId="2051E1C1" w14:textId="77777777" w:rsidR="00583999" w:rsidRDefault="00583999" w:rsidP="00583999">
            <w:pPr>
              <w:pStyle w:val="Author"/>
              <w:spacing w:before="0" w:after="0"/>
              <w:ind w:left="0"/>
              <w:rPr>
                <w:rFonts w:ascii="Arial" w:hAnsi="Arial" w:cs="Arial"/>
                <w:sz w:val="22"/>
                <w:szCs w:val="22"/>
              </w:rPr>
            </w:pPr>
          </w:p>
          <w:p w14:paraId="5FDE5C1D" w14:textId="5CA40A2A" w:rsidR="00A67F58" w:rsidRDefault="00A67F58" w:rsidP="00583999">
            <w:pPr>
              <w:pStyle w:val="Author"/>
              <w:spacing w:before="0" w:after="0"/>
              <w:ind w:left="0"/>
              <w:rPr>
                <w:rFonts w:asciiTheme="minorHAnsi" w:hAnsiTheme="minorHAnsi" w:cstheme="minorHAnsi"/>
                <w:sz w:val="18"/>
                <w:szCs w:val="18"/>
              </w:rPr>
            </w:pPr>
          </w:p>
        </w:tc>
      </w:tr>
    </w:tbl>
    <w:p w14:paraId="143F7868" w14:textId="77777777" w:rsidR="00A67F58" w:rsidRDefault="00A67F58">
      <w:pPr>
        <w:pStyle w:val="Author"/>
        <w:spacing w:before="0" w:after="0"/>
        <w:ind w:left="0"/>
        <w:jc w:val="left"/>
        <w:rPr>
          <w:rFonts w:asciiTheme="minorHAnsi" w:hAnsiTheme="minorHAnsi" w:cstheme="minorHAnsi"/>
          <w:sz w:val="22"/>
          <w:szCs w:val="22"/>
        </w:rPr>
      </w:pPr>
    </w:p>
    <w:p w14:paraId="61FAF962" w14:textId="77777777" w:rsidR="00A67F58" w:rsidRDefault="00A67F58">
      <w:pPr>
        <w:pStyle w:val="Author"/>
        <w:spacing w:before="0" w:after="0"/>
        <w:ind w:left="0"/>
        <w:jc w:val="left"/>
        <w:rPr>
          <w:rFonts w:asciiTheme="minorHAnsi" w:hAnsiTheme="minorHAnsi" w:cstheme="minorHAnsi"/>
          <w:sz w:val="22"/>
          <w:szCs w:val="22"/>
        </w:rPr>
      </w:pPr>
    </w:p>
    <w:tbl>
      <w:tblPr>
        <w:tblStyle w:val="TableGrid"/>
        <w:tblW w:w="919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408"/>
        <w:gridCol w:w="540"/>
        <w:gridCol w:w="2250"/>
      </w:tblGrid>
      <w:tr w:rsidR="00A67F58" w14:paraId="5E598844" w14:textId="77777777">
        <w:tc>
          <w:tcPr>
            <w:tcW w:w="6408" w:type="dxa"/>
          </w:tcPr>
          <w:p w14:paraId="743E0901" w14:textId="77777777" w:rsidR="00A67F58" w:rsidRPr="00DC3EFC" w:rsidRDefault="00825BC7">
            <w:pPr>
              <w:pStyle w:val="Abstract"/>
              <w:spacing w:before="240" w:after="240"/>
              <w:ind w:left="0"/>
              <w:jc w:val="left"/>
              <w:rPr>
                <w:rFonts w:ascii="Arial" w:hAnsi="Arial" w:cs="Arial"/>
                <w:bCs w:val="0"/>
                <w:iCs/>
                <w:color w:val="2E74B5" w:themeColor="accent1" w:themeShade="BF"/>
                <w:sz w:val="22"/>
                <w:szCs w:val="22"/>
              </w:rPr>
            </w:pPr>
            <w:r w:rsidRPr="00DC3EFC">
              <w:rPr>
                <w:rFonts w:ascii="Arial" w:hAnsi="Arial" w:cs="Arial"/>
                <w:bCs w:val="0"/>
                <w:iCs/>
                <w:color w:val="2E74B5" w:themeColor="accent1" w:themeShade="BF"/>
                <w:sz w:val="22"/>
                <w:szCs w:val="22"/>
              </w:rPr>
              <w:t>ABSTRACT</w:t>
            </w:r>
          </w:p>
        </w:tc>
        <w:tc>
          <w:tcPr>
            <w:tcW w:w="540" w:type="dxa"/>
            <w:tcBorders>
              <w:bottom w:val="nil"/>
            </w:tcBorders>
          </w:tcPr>
          <w:p w14:paraId="0AEC547E" w14:textId="77777777" w:rsidR="00A67F58" w:rsidRDefault="00A67F58">
            <w:pPr>
              <w:pStyle w:val="Author"/>
              <w:spacing w:before="240" w:after="240"/>
              <w:ind w:left="0"/>
              <w:rPr>
                <w:rFonts w:asciiTheme="minorHAnsi" w:hAnsiTheme="minorHAnsi" w:cstheme="minorHAnsi"/>
                <w:sz w:val="22"/>
                <w:szCs w:val="22"/>
              </w:rPr>
            </w:pPr>
          </w:p>
        </w:tc>
        <w:tc>
          <w:tcPr>
            <w:tcW w:w="2250" w:type="dxa"/>
          </w:tcPr>
          <w:p w14:paraId="27721342" w14:textId="77777777" w:rsidR="00A67F58" w:rsidRPr="00DC3EFC" w:rsidRDefault="00825BC7">
            <w:pPr>
              <w:pStyle w:val="Author"/>
              <w:spacing w:before="240" w:after="240"/>
              <w:ind w:left="0"/>
              <w:jc w:val="left"/>
              <w:rPr>
                <w:rFonts w:ascii="Arial" w:hAnsi="Arial" w:cs="Arial"/>
                <w:b/>
                <w:bCs/>
                <w:color w:val="2E74B5" w:themeColor="accent1" w:themeShade="BF"/>
                <w:sz w:val="22"/>
                <w:szCs w:val="22"/>
              </w:rPr>
            </w:pPr>
            <w:r w:rsidRPr="00DC3EFC">
              <w:rPr>
                <w:rFonts w:ascii="Arial" w:hAnsi="Arial" w:cs="Arial"/>
                <w:b/>
                <w:bCs/>
                <w:color w:val="2E74B5" w:themeColor="accent1" w:themeShade="BF"/>
                <w:sz w:val="22"/>
                <w:szCs w:val="22"/>
              </w:rPr>
              <w:t>ARTICLE INFO</w:t>
            </w:r>
          </w:p>
        </w:tc>
      </w:tr>
      <w:tr w:rsidR="00A67F58" w:rsidRPr="00984CF1" w14:paraId="0F9B7F7B" w14:textId="77777777">
        <w:tc>
          <w:tcPr>
            <w:tcW w:w="6408" w:type="dxa"/>
          </w:tcPr>
          <w:p w14:paraId="0708A9A2" w14:textId="276C7B0F" w:rsidR="00A67F58" w:rsidRPr="00984CF1" w:rsidRDefault="00984CF1" w:rsidP="00984CF1">
            <w:pPr>
              <w:pStyle w:val="Author"/>
              <w:spacing w:before="0" w:after="0"/>
              <w:ind w:left="0"/>
              <w:jc w:val="both"/>
              <w:rPr>
                <w:rFonts w:asciiTheme="minorHAnsi" w:hAnsiTheme="minorHAnsi" w:cstheme="minorHAnsi"/>
                <w:bCs/>
                <w:sz w:val="22"/>
                <w:szCs w:val="22"/>
              </w:rPr>
            </w:pPr>
            <w:r w:rsidRPr="00984CF1">
              <w:rPr>
                <w:rFonts w:ascii="Adobe Garamond Pro" w:eastAsiaTheme="minorHAnsi" w:hAnsi="Adobe Garamond Pro" w:cstheme="minorHAnsi"/>
                <w:bCs/>
                <w:sz w:val="22"/>
                <w:szCs w:val="22"/>
                <w:lang w:bidi="ar-SA"/>
              </w:rPr>
              <w:t>This study examines the feasibility of Sinar Baru's amplang business in Samarinda through an integrated feasibility study approach that utilizes market, financial, technical and operational analysis, human resources, and legality and compliance. The main problem of this study is the lack of overall research that combines the financial and non-financial elements of traditionally operating MSMEs with limited digital marketing. The purpose of this study is to assess financial and operational feasibility and develop strategies to improve production efficiency, digital marketing capabilities, and regulatory compliance. Qualitative analysis through interviews and production observations was combined with quantitative analysis of NPV, IRR, Payback Period, and Break-Even Point indicators. This study shows the latest position in terms of the business feasibility of culinary MSMEs that combine halal certification, distribution permits, and cash flow-based financial planning. The results show that Amplang Sinar Baru has competitiveness in the local market because it has a positive NPV, high IRR, short Payback Period, and realistic BEP. This research includes an integrated feasibility evaluation framework for culinary MSMEs that combines digital marketing, simple financial management, and policy advice and operational practices to improve the well-being of business actors, reduce risk, and expand opportunities.</w:t>
            </w:r>
          </w:p>
        </w:tc>
        <w:tc>
          <w:tcPr>
            <w:tcW w:w="540" w:type="dxa"/>
            <w:tcBorders>
              <w:top w:val="nil"/>
              <w:bottom w:val="nil"/>
            </w:tcBorders>
          </w:tcPr>
          <w:p w14:paraId="72605E6D" w14:textId="77777777" w:rsidR="00A67F58" w:rsidRDefault="00A67F58">
            <w:pPr>
              <w:pStyle w:val="Author"/>
              <w:spacing w:before="0" w:after="0"/>
              <w:ind w:left="0"/>
              <w:jc w:val="left"/>
              <w:rPr>
                <w:rFonts w:asciiTheme="minorHAnsi" w:hAnsiTheme="minorHAnsi" w:cstheme="minorHAnsi"/>
                <w:sz w:val="22"/>
                <w:szCs w:val="22"/>
              </w:rPr>
            </w:pPr>
          </w:p>
        </w:tc>
        <w:tc>
          <w:tcPr>
            <w:tcW w:w="2250" w:type="dxa"/>
          </w:tcPr>
          <w:p w14:paraId="76136CBD" w14:textId="77777777" w:rsidR="00A67F58" w:rsidRPr="007672DE" w:rsidRDefault="00825BC7">
            <w:pPr>
              <w:pStyle w:val="keywords"/>
              <w:tabs>
                <w:tab w:val="left" w:pos="1530"/>
              </w:tabs>
              <w:spacing w:before="240" w:after="0"/>
              <w:ind w:left="0" w:firstLine="0"/>
              <w:jc w:val="left"/>
              <w:rPr>
                <w:rFonts w:ascii="Adobe Garamond Pro" w:hAnsi="Adobe Garamond Pro" w:cstheme="minorHAnsi"/>
                <w:b w:val="0"/>
                <w:i w:val="0"/>
                <w:sz w:val="20"/>
                <w:szCs w:val="20"/>
              </w:rPr>
            </w:pPr>
            <w:r w:rsidRPr="007672DE">
              <w:rPr>
                <w:rFonts w:ascii="Adobe Garamond Pro" w:hAnsi="Adobe Garamond Pro" w:cstheme="minorHAnsi"/>
                <w:b w:val="0"/>
                <w:i w:val="0"/>
                <w:sz w:val="20"/>
                <w:szCs w:val="20"/>
              </w:rPr>
              <w:t xml:space="preserve">Keywords: </w:t>
            </w:r>
          </w:p>
          <w:p w14:paraId="623F7323" w14:textId="57030C4D" w:rsidR="00A67F58" w:rsidRPr="007672DE" w:rsidRDefault="00984CF1">
            <w:pPr>
              <w:pStyle w:val="keywords"/>
              <w:tabs>
                <w:tab w:val="left" w:pos="1530"/>
              </w:tabs>
              <w:spacing w:after="0"/>
              <w:ind w:left="0" w:firstLine="0"/>
              <w:jc w:val="left"/>
              <w:rPr>
                <w:rFonts w:ascii="Adobe Garamond Pro" w:hAnsi="Adobe Garamond Pro" w:cstheme="minorHAnsi"/>
                <w:b w:val="0"/>
                <w:i w:val="0"/>
                <w:sz w:val="20"/>
                <w:szCs w:val="20"/>
              </w:rPr>
            </w:pPr>
            <w:r>
              <w:rPr>
                <w:rFonts w:ascii="Adobe Garamond Pro" w:hAnsi="Adobe Garamond Pro" w:cstheme="minorHAnsi"/>
                <w:b w:val="0"/>
                <w:i w:val="0"/>
                <w:sz w:val="20"/>
                <w:szCs w:val="20"/>
              </w:rPr>
              <w:t xml:space="preserve">Business </w:t>
            </w:r>
            <w:r w:rsidR="00A73294">
              <w:rPr>
                <w:rFonts w:ascii="Adobe Garamond Pro" w:hAnsi="Adobe Garamond Pro" w:cstheme="minorHAnsi"/>
                <w:b w:val="0"/>
                <w:i w:val="0"/>
                <w:sz w:val="20"/>
                <w:szCs w:val="20"/>
              </w:rPr>
              <w:t>F</w:t>
            </w:r>
            <w:r>
              <w:rPr>
                <w:rFonts w:ascii="Adobe Garamond Pro" w:hAnsi="Adobe Garamond Pro" w:cstheme="minorHAnsi"/>
                <w:b w:val="0"/>
                <w:i w:val="0"/>
                <w:sz w:val="20"/>
                <w:szCs w:val="20"/>
              </w:rPr>
              <w:t>easibility</w:t>
            </w:r>
            <w:r w:rsidR="00825BC7" w:rsidRPr="007672DE">
              <w:rPr>
                <w:rFonts w:ascii="Adobe Garamond Pro" w:hAnsi="Adobe Garamond Pro" w:cstheme="minorHAnsi"/>
                <w:b w:val="0"/>
                <w:i w:val="0"/>
                <w:sz w:val="20"/>
                <w:szCs w:val="20"/>
              </w:rPr>
              <w:t xml:space="preserve">, </w:t>
            </w:r>
            <w:r w:rsidR="00A73294">
              <w:rPr>
                <w:rFonts w:ascii="Adobe Garamond Pro" w:hAnsi="Adobe Garamond Pro" w:cstheme="minorHAnsi"/>
                <w:b w:val="0"/>
                <w:i w:val="0"/>
                <w:sz w:val="20"/>
                <w:szCs w:val="20"/>
              </w:rPr>
              <w:t>C</w:t>
            </w:r>
            <w:r>
              <w:rPr>
                <w:rFonts w:ascii="Adobe Garamond Pro" w:hAnsi="Adobe Garamond Pro" w:cstheme="minorHAnsi"/>
                <w:b w:val="0"/>
                <w:i w:val="0"/>
                <w:sz w:val="20"/>
                <w:szCs w:val="20"/>
              </w:rPr>
              <w:t>ulinary</w:t>
            </w:r>
            <w:r w:rsidR="00825BC7" w:rsidRPr="007672DE">
              <w:rPr>
                <w:rFonts w:ascii="Adobe Garamond Pro" w:hAnsi="Adobe Garamond Pro" w:cstheme="minorHAnsi"/>
                <w:b w:val="0"/>
                <w:i w:val="0"/>
                <w:sz w:val="20"/>
                <w:szCs w:val="20"/>
              </w:rPr>
              <w:t xml:space="preserve">, </w:t>
            </w:r>
            <w:r>
              <w:rPr>
                <w:rFonts w:ascii="Adobe Garamond Pro" w:hAnsi="Adobe Garamond Pro" w:cstheme="minorHAnsi"/>
                <w:b w:val="0"/>
                <w:i w:val="0"/>
                <w:sz w:val="20"/>
                <w:szCs w:val="20"/>
              </w:rPr>
              <w:t>MSMEs</w:t>
            </w:r>
            <w:r w:rsidR="00825BC7" w:rsidRPr="007672DE">
              <w:rPr>
                <w:rFonts w:ascii="Adobe Garamond Pro" w:hAnsi="Adobe Garamond Pro" w:cstheme="minorHAnsi"/>
                <w:b w:val="0"/>
                <w:i w:val="0"/>
                <w:sz w:val="20"/>
                <w:szCs w:val="20"/>
              </w:rPr>
              <w:t xml:space="preserve">, </w:t>
            </w:r>
            <w:r w:rsidR="00A73294">
              <w:rPr>
                <w:rFonts w:ascii="Adobe Garamond Pro" w:hAnsi="Adobe Garamond Pro" w:cstheme="minorHAnsi"/>
                <w:b w:val="0"/>
                <w:i w:val="0"/>
                <w:sz w:val="20"/>
                <w:szCs w:val="20"/>
              </w:rPr>
              <w:t>D</w:t>
            </w:r>
            <w:r>
              <w:rPr>
                <w:rFonts w:ascii="Adobe Garamond Pro" w:hAnsi="Adobe Garamond Pro" w:cstheme="minorHAnsi"/>
                <w:b w:val="0"/>
                <w:i w:val="0"/>
                <w:sz w:val="20"/>
                <w:szCs w:val="20"/>
              </w:rPr>
              <w:t xml:space="preserve">igital </w:t>
            </w:r>
            <w:r w:rsidR="00A73294">
              <w:rPr>
                <w:rFonts w:ascii="Adobe Garamond Pro" w:hAnsi="Adobe Garamond Pro" w:cstheme="minorHAnsi"/>
                <w:b w:val="0"/>
                <w:i w:val="0"/>
                <w:sz w:val="20"/>
                <w:szCs w:val="20"/>
              </w:rPr>
              <w:t>M</w:t>
            </w:r>
            <w:r>
              <w:rPr>
                <w:rFonts w:ascii="Adobe Garamond Pro" w:hAnsi="Adobe Garamond Pro" w:cstheme="minorHAnsi"/>
                <w:b w:val="0"/>
                <w:i w:val="0"/>
                <w:sz w:val="20"/>
                <w:szCs w:val="20"/>
              </w:rPr>
              <w:t>arketing</w:t>
            </w:r>
            <w:r w:rsidR="00825BC7" w:rsidRPr="007672DE">
              <w:rPr>
                <w:rFonts w:ascii="Adobe Garamond Pro" w:hAnsi="Adobe Garamond Pro" w:cstheme="minorHAnsi"/>
                <w:b w:val="0"/>
                <w:i w:val="0"/>
                <w:sz w:val="20"/>
                <w:szCs w:val="20"/>
              </w:rPr>
              <w:t xml:space="preserve">, </w:t>
            </w:r>
            <w:r w:rsidR="00A73294">
              <w:rPr>
                <w:rFonts w:ascii="Adobe Garamond Pro" w:hAnsi="Adobe Garamond Pro" w:cstheme="minorHAnsi"/>
                <w:b w:val="0"/>
                <w:i w:val="0"/>
                <w:sz w:val="20"/>
                <w:szCs w:val="20"/>
              </w:rPr>
              <w:t>P</w:t>
            </w:r>
            <w:r>
              <w:rPr>
                <w:rFonts w:ascii="Adobe Garamond Pro" w:hAnsi="Adobe Garamond Pro" w:cstheme="minorHAnsi"/>
                <w:b w:val="0"/>
                <w:i w:val="0"/>
                <w:sz w:val="20"/>
                <w:szCs w:val="20"/>
              </w:rPr>
              <w:t xml:space="preserve">roduction </w:t>
            </w:r>
            <w:r w:rsidR="00A73294">
              <w:rPr>
                <w:rFonts w:ascii="Adobe Garamond Pro" w:hAnsi="Adobe Garamond Pro" w:cstheme="minorHAnsi"/>
                <w:b w:val="0"/>
                <w:i w:val="0"/>
                <w:sz w:val="20"/>
                <w:szCs w:val="20"/>
              </w:rPr>
              <w:t>E</w:t>
            </w:r>
            <w:r>
              <w:rPr>
                <w:rFonts w:ascii="Adobe Garamond Pro" w:hAnsi="Adobe Garamond Pro" w:cstheme="minorHAnsi"/>
                <w:b w:val="0"/>
                <w:i w:val="0"/>
                <w:sz w:val="20"/>
                <w:szCs w:val="20"/>
              </w:rPr>
              <w:t>fficiency</w:t>
            </w:r>
          </w:p>
          <w:p w14:paraId="3730F5E2" w14:textId="77777777" w:rsidR="00A67F58" w:rsidRPr="007672DE" w:rsidRDefault="00A67F58">
            <w:pPr>
              <w:pStyle w:val="keywords"/>
              <w:tabs>
                <w:tab w:val="left" w:pos="1530"/>
              </w:tabs>
              <w:spacing w:before="240" w:after="0"/>
              <w:ind w:left="0" w:firstLine="0"/>
              <w:jc w:val="left"/>
              <w:rPr>
                <w:rFonts w:ascii="Adobe Garamond Pro" w:hAnsi="Adobe Garamond Pro" w:cstheme="minorHAnsi"/>
                <w:b w:val="0"/>
                <w:i w:val="0"/>
                <w:sz w:val="22"/>
                <w:szCs w:val="22"/>
              </w:rPr>
            </w:pPr>
          </w:p>
          <w:p w14:paraId="6C55B5B7" w14:textId="77777777" w:rsidR="00A67F58" w:rsidRPr="00984CF1" w:rsidRDefault="00825BC7">
            <w:pPr>
              <w:pStyle w:val="keywords"/>
              <w:spacing w:before="240" w:after="0"/>
              <w:ind w:left="0" w:firstLine="0"/>
              <w:jc w:val="left"/>
              <w:rPr>
                <w:rFonts w:ascii="Adobe Garamond Pro" w:hAnsi="Adobe Garamond Pro" w:cstheme="minorHAnsi"/>
                <w:b w:val="0"/>
                <w:i w:val="0"/>
                <w:sz w:val="20"/>
                <w:szCs w:val="20"/>
                <w:lang w:val="sv-SE"/>
              </w:rPr>
            </w:pPr>
            <w:r w:rsidRPr="00984CF1">
              <w:rPr>
                <w:rFonts w:ascii="Adobe Garamond Pro" w:hAnsi="Adobe Garamond Pro" w:cstheme="minorHAnsi"/>
                <w:b w:val="0"/>
                <w:i w:val="0"/>
                <w:sz w:val="20"/>
                <w:szCs w:val="20"/>
                <w:lang w:val="sv-SE"/>
              </w:rPr>
              <w:t xml:space="preserve">JEL Code: </w:t>
            </w:r>
          </w:p>
          <w:p w14:paraId="2F292CC9" w14:textId="77777777" w:rsidR="00A67F58" w:rsidRPr="00984CF1" w:rsidRDefault="00825BC7">
            <w:pPr>
              <w:pStyle w:val="keywords"/>
              <w:spacing w:after="0"/>
              <w:ind w:left="0" w:firstLine="0"/>
              <w:jc w:val="left"/>
              <w:rPr>
                <w:rFonts w:ascii="Adobe Garamond Pro" w:hAnsi="Adobe Garamond Pro" w:cstheme="minorHAnsi"/>
                <w:b w:val="0"/>
                <w:i w:val="0"/>
                <w:sz w:val="20"/>
                <w:szCs w:val="20"/>
                <w:lang w:val="sv-SE"/>
              </w:rPr>
            </w:pPr>
            <w:r w:rsidRPr="00984CF1">
              <w:rPr>
                <w:rFonts w:ascii="Adobe Garamond Pro" w:hAnsi="Adobe Garamond Pro" w:cstheme="minorHAnsi"/>
                <w:b w:val="0"/>
                <w:i w:val="0"/>
                <w:sz w:val="20"/>
                <w:szCs w:val="20"/>
                <w:lang w:val="sv-SE"/>
              </w:rPr>
              <w:t>D13, I31, J22, K31</w:t>
            </w:r>
          </w:p>
          <w:p w14:paraId="59A7E5DF" w14:textId="77777777" w:rsidR="00A67F58" w:rsidRPr="00984CF1" w:rsidRDefault="00A67F58">
            <w:pPr>
              <w:pStyle w:val="keywords"/>
              <w:tabs>
                <w:tab w:val="left" w:pos="1530"/>
              </w:tabs>
              <w:spacing w:after="0"/>
              <w:ind w:left="0" w:firstLine="0"/>
              <w:jc w:val="left"/>
              <w:rPr>
                <w:rFonts w:asciiTheme="minorHAnsi" w:hAnsiTheme="minorHAnsi" w:cstheme="minorHAnsi"/>
                <w:b w:val="0"/>
                <w:i w:val="0"/>
                <w:sz w:val="22"/>
                <w:szCs w:val="22"/>
                <w:lang w:val="sv-SE"/>
              </w:rPr>
            </w:pPr>
          </w:p>
          <w:p w14:paraId="192A8776" w14:textId="77777777" w:rsidR="00A67F58" w:rsidRPr="00984CF1" w:rsidRDefault="00A67F58">
            <w:pPr>
              <w:pStyle w:val="Author"/>
              <w:spacing w:before="0" w:after="0"/>
              <w:ind w:left="0"/>
              <w:jc w:val="left"/>
              <w:rPr>
                <w:rFonts w:asciiTheme="minorHAnsi" w:hAnsiTheme="minorHAnsi" w:cstheme="minorHAnsi"/>
                <w:sz w:val="22"/>
                <w:szCs w:val="22"/>
                <w:lang w:val="sv-SE"/>
              </w:rPr>
            </w:pPr>
          </w:p>
        </w:tc>
      </w:tr>
      <w:tr w:rsidR="00A67F58" w14:paraId="775E1252" w14:textId="77777777">
        <w:tc>
          <w:tcPr>
            <w:tcW w:w="9198" w:type="dxa"/>
            <w:gridSpan w:val="3"/>
          </w:tcPr>
          <w:p w14:paraId="5B763B58" w14:textId="77777777" w:rsidR="00A67F58" w:rsidRPr="00984CF1" w:rsidRDefault="00A67F58">
            <w:pPr>
              <w:spacing w:after="0" w:line="240" w:lineRule="auto"/>
              <w:jc w:val="both"/>
              <w:rPr>
                <w:rFonts w:cstheme="minorHAnsi"/>
                <w:lang w:val="sv-SE"/>
              </w:rPr>
            </w:pPr>
          </w:p>
          <w:p w14:paraId="61CF7882" w14:textId="77777777" w:rsidR="00A67F58" w:rsidRPr="00984CF1" w:rsidRDefault="00A67F58">
            <w:pPr>
              <w:spacing w:after="0" w:line="240" w:lineRule="auto"/>
              <w:jc w:val="both"/>
              <w:rPr>
                <w:rFonts w:cstheme="minorHAnsi"/>
                <w:lang w:val="sv-SE"/>
              </w:rPr>
            </w:pPr>
          </w:p>
          <w:p w14:paraId="6F4EEF63" w14:textId="77777777" w:rsidR="00A67F58" w:rsidRPr="00984CF1" w:rsidRDefault="00A67F58">
            <w:pPr>
              <w:spacing w:after="0" w:line="240" w:lineRule="auto"/>
              <w:jc w:val="both"/>
              <w:rPr>
                <w:rFonts w:cstheme="minorHAnsi"/>
                <w:lang w:val="sv-SE"/>
              </w:rPr>
            </w:pPr>
          </w:p>
          <w:p w14:paraId="424292D7" w14:textId="77777777" w:rsidR="00A67F58" w:rsidRPr="00984CF1" w:rsidRDefault="00A67F58">
            <w:pPr>
              <w:spacing w:after="0" w:line="240" w:lineRule="auto"/>
              <w:jc w:val="both"/>
              <w:rPr>
                <w:rFonts w:cstheme="minorHAnsi"/>
                <w:lang w:val="sv-SE"/>
              </w:rPr>
            </w:pPr>
          </w:p>
          <w:p w14:paraId="0F080EE9" w14:textId="77777777" w:rsidR="00A67F58" w:rsidRPr="00984CF1" w:rsidRDefault="00A67F58">
            <w:pPr>
              <w:spacing w:after="0" w:line="240" w:lineRule="auto"/>
              <w:jc w:val="both"/>
              <w:rPr>
                <w:rFonts w:cstheme="minorHAnsi"/>
                <w:lang w:val="sv-SE"/>
              </w:rPr>
            </w:pPr>
          </w:p>
          <w:p w14:paraId="4F1F1B10" w14:textId="4C556512" w:rsidR="00A67F58" w:rsidRDefault="00A67F58" w:rsidP="00583999">
            <w:pPr>
              <w:spacing w:after="0" w:line="240" w:lineRule="auto"/>
              <w:jc w:val="both"/>
              <w:rPr>
                <w:rFonts w:cstheme="minorHAnsi"/>
                <w:sz w:val="18"/>
                <w:szCs w:val="18"/>
              </w:rPr>
            </w:pPr>
          </w:p>
        </w:tc>
      </w:tr>
    </w:tbl>
    <w:p w14:paraId="6EF1C800" w14:textId="77777777" w:rsidR="00A67F58" w:rsidRDefault="00A67F58">
      <w:pPr>
        <w:spacing w:line="240" w:lineRule="auto"/>
        <w:rPr>
          <w:rFonts w:cstheme="minorHAnsi"/>
        </w:rPr>
        <w:sectPr w:rsidR="00A67F58" w:rsidSect="00FE0778">
          <w:headerReference w:type="even" r:id="rId9"/>
          <w:headerReference w:type="default" r:id="rId10"/>
          <w:footerReference w:type="default" r:id="rId11"/>
          <w:pgSz w:w="11907" w:h="16840"/>
          <w:pgMar w:top="1701" w:right="1197" w:bottom="1418" w:left="1418" w:header="1077" w:footer="1134" w:gutter="0"/>
          <w:pgNumType w:start="99"/>
          <w:cols w:space="720"/>
          <w:docGrid w:linePitch="360"/>
        </w:sectPr>
      </w:pPr>
    </w:p>
    <w:p w14:paraId="4C929DB6" w14:textId="3DABD7F9" w:rsidR="00A67F58" w:rsidRPr="00DC3EFC" w:rsidRDefault="00C92015">
      <w:pPr>
        <w:pStyle w:val="ListParagraph"/>
        <w:numPr>
          <w:ilvl w:val="0"/>
          <w:numId w:val="2"/>
        </w:numPr>
        <w:tabs>
          <w:tab w:val="left" w:pos="360"/>
        </w:tabs>
        <w:suppressAutoHyphens/>
        <w:spacing w:after="0" w:line="360" w:lineRule="auto"/>
        <w:ind w:hanging="720"/>
        <w:contextualSpacing w:val="0"/>
        <w:rPr>
          <w:rFonts w:ascii="Arial" w:hAnsi="Arial" w:cs="Arial"/>
          <w:b/>
          <w:color w:val="2E74B5" w:themeColor="accent1" w:themeShade="BF"/>
        </w:rPr>
      </w:pPr>
      <w:r w:rsidRPr="00DC3EFC">
        <w:rPr>
          <w:rFonts w:ascii="Arial" w:hAnsi="Arial" w:cs="Arial"/>
          <w:b/>
          <w:color w:val="2E74B5" w:themeColor="accent1" w:themeShade="BF"/>
        </w:rPr>
        <w:lastRenderedPageBreak/>
        <w:t xml:space="preserve">INTRODUCTION </w:t>
      </w:r>
    </w:p>
    <w:p w14:paraId="5356A233" w14:textId="57F00B53" w:rsidR="00EA4EC7" w:rsidRDefault="00EE1DFE" w:rsidP="00A73294">
      <w:pPr>
        <w:tabs>
          <w:tab w:val="left" w:pos="426"/>
        </w:tabs>
        <w:spacing w:line="360" w:lineRule="auto"/>
        <w:jc w:val="both"/>
        <w:rPr>
          <w:rFonts w:ascii="Adobe Garamond Pro" w:hAnsi="Adobe Garamond Pro" w:cs="Times New Roman"/>
        </w:rPr>
      </w:pPr>
      <w:r w:rsidRPr="00EE1DFE">
        <w:rPr>
          <w:rFonts w:ascii="Adobe Garamond Pro" w:hAnsi="Adobe Garamond Pro" w:cs="Times New Roman"/>
        </w:rPr>
        <w:t xml:space="preserve">The phenomenon of increasing the use of social media as a means in digital marketing, especially in the culinary sector, has become an inevitable trend. Use of social media platforms such as Instagram, Facebook, and TikTok not only as a medium of communication, but as an active medium in shaping brand awareness, and increase consumer loyalty. Studies from </w:t>
      </w:r>
      <w:r w:rsidRPr="00EE1DFE">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{"citationItems":[{"id":"ITEM-1","itemData":{"abstract":"… Tujuan penelitian ini adalah untuk menemukan strategi pemasaran digital sebagai upaya … pemasaran digital, dan menemukan solusi dari kendala dalam penerapan pemasaran digital. …","author":[{"dropping-particle":"","family":"Leni","given":"Sugiyanti","non-dropping-particle":"","parse-names":false,"suffix":""},{"dropping-particle":"","family":"Melyona","given":"Zenia Rabbil","non-dropping-particle":"","parse-names":false,"suffix":""},{"dropping-particle":"","family":"Kamilah","given":"Citra Oktavia","non-dropping-particle":"","parse-names":false,"suffix":""},{"dropping-particle":"","family":"Mega","given":"Silvia","non-dropping-particle":"","parse-names":false,"suffix":""}],"container-title":"Jurnal Dinamika Manajemen","id":"ITEM-1","issue":"0000-0000","issued":{"date-parts":[["2022"]]},"page":"100-110","title":"Strategi Pemasaran Digital untuk Meningkatkan Penjualan UMKM","type":"article-journal","volume":"1"},"uris":["http://www.mendeley.com/documents/?uuid=35bc46ce-c95a-4239-8910-91cd2f4e783c","http://www.mendeley.com/documents/?uuid=bc3e7043-8146-4b65-abfd-465dd2d474ce"]},{"id":"ITEM-2","itemData":{"abstract":"Kegiatan promosi adalah salah satu hal terpenting dalam menjalankan sebuah bisnis untuk memasarkan produk/jasa. Sejalan dengan berkembangnya teknologi yang ada saat ini, strategi dalam melakukan pemasaran pun juga mulai berubah ke arah yang lebih modern, yaitu dengan teknologi internet, atau yang kemudian dikenal dengan istilah  digital marketing  .  Beragam jenis media sosial dan karakteristiknya dapat menjadi alternatif untuk melakukan promosi digital bisnis kuliner. Banyaknya kemudahan dan fungsi dalam penggunaan media  digital , telah mendorong banyak pengusaha dalam bidang usaha kuliner untuk ikut serta dalam memanfaatkan fasilitas media digital sebagai sarana promosi produk-produknya. Salah satunya adalah dengan menggunakan media sosial sebagai media promosi.Media sosial yang sering digunakan adalahFacebook dan Instagram, berdasarkan survei emarketer yaitu sebesar 87,5% untuk facebook dan 69,2% untuk Instagram, tentang tren penggunaan media sosial. Fakta inilah yang juga disadari oleh Kika’s Catering, salah satu bisnis kuliner yang menggunakan media sosial untuk kegiatan promosinya. Namun beragam jenis media sosial yang ada tentu memiliki sifat, karakteristik, ciri khas, konten, bahkan tujuan yang berbeda pula. Menggunakan media sosial yang tidak tepat dapat menyebabkan kegiatan promosi menjadi tidak efektif. Konten promosi menjadi hal penting dalam menggunakan media sosial yang digunakan. Tujuan dari penelitian ini adalah untuk mengetahui dan menganalisis pemetaan konten promosi digital bisnis kuliner di Facebook dan Instagram.Penelitian ini menggunakan metode deskriptif kualitatif. Hasil penelitian menunjukan bahwa beberapa hal yang harus menjadi perhatian dalam melakukan kegiatan promosi digital adalah mendefinisikan target konsumen, dan penggunaan konten promosi. Konten yang tepat digunakan pada Instagram adalah  visual/image  dan  hashtag .Sedangkan untuk Facebook adalah  photo album , teks, dan  fanpage.","author":[{"dropping-particle":"","family":"Tresnawati","given":"Yuni","non-dropping-particle":"","parse-names":false,"suffix":""},{"dropping-particle":"","family":"Prasetyo","given":"Kurniawan","non-dropping-particle":"","parse-names":false,"suffix":""}],"container-title":"Profesi Humas","id":"ITEM-2","issue":"1","issued":{"date-parts":[["2018"]]},"page":"102-119","title":"Pemetaan Konten Promosi Digital Bisnis Kuliner kika ’ s Catering di Media Sosial Mapping The Content of Digital Promotion For Culinary Business Kika ’ s Catering on Social Media","type":"article-journal","volume":"3"},"uris":["http://www.mendeley.com/documents/?uuid=996e51c8-1fe2-4912-96c1-f65ed61d7e65","http://www.mendeley.com/documents/?uuid=b89e97b1-61a8-4c33-9c37-b6f24d48a26c"]}],"mendeley":{"formattedCitation":"(Leni et al. 2022; Tresnawati and Prasetyo 2018)","manualFormatting":"Leni et al. (2022); Love &amp; Promise (2018)","plainTextFormattedCitation":"(Leni et al. 2022; Tresnawati and Prasetyo 2018)","previouslyFormattedCitation":"(Leni et al. 2022; Tresnawati and Prasetyo 2018)"},"properties":{"noteIndex":0},"schema":"https://github.com/citation-style-language/schema/raw/master/csl-citation.json"}</w:instrText>
      </w:r>
      <w:r w:rsidRPr="00EE1DFE">
        <w:rPr>
          <w:rFonts w:ascii="Adobe Garamond Pro" w:hAnsi="Adobe Garamond Pro" w:cs="Times New Roman"/>
        </w:rPr>
        <w:fldChar w:fldCharType="separate"/>
      </w:r>
      <w:r w:rsidRPr="00EE1DFE">
        <w:rPr>
          <w:rFonts w:ascii="Adobe Garamond Pro" w:hAnsi="Adobe Garamond Pro" w:cs="Times New Roman"/>
          <w:noProof/>
        </w:rPr>
        <w:t>Leni et al. (2022); Love &amp; Promise (2018)</w:t>
      </w:r>
      <w:r w:rsidRPr="00EE1DFE">
        <w:rPr>
          <w:rFonts w:ascii="Adobe Garamond Pro" w:hAnsi="Adobe Garamond Pro" w:cs="Times New Roman"/>
        </w:rPr>
        <w:fldChar w:fldCharType="end"/>
      </w:r>
      <w:r w:rsidRPr="00EE1DFE">
        <w:rPr>
          <w:rFonts w:ascii="Adobe Garamond Pro" w:hAnsi="Adobe Garamond Pro" w:cs="Times New Roman"/>
        </w:rPr>
        <w:t xml:space="preserve"> Examining this phenomenon by analyzing changes in consumer behavior who access a lot of information through digital devices and the development of technology that supports the use of social media in building brand awareness and customer loyalty. Next </w:t>
      </w:r>
      <w:r w:rsidRPr="00EE1DFE">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{"citationItems":[{"id":"ITEM-1","itemData":{"DOI":"10.21067/jrpe.v8i2.8718","abstract":"Competition in the culinary sector is increasingly rife, requiring business people to be able to always use marketing strategies that are relevant to the times.Â  One marketing strategy that has become increasingly popular lately is using influencers.Â  Through their influence on social media, influencers can endorse a product that is becoming increasingly popular.Â  An influencer will usually endorse a variety of products.Â  Therefore, research on influencers who endorse only one type of product has not been carried out much, in this case the Semarang lumpia product.Â  This study aims to analyze marketing strategies for culinary businesses using influencers on post-pandemic Instagram social media.Â  The study uses a descriptive qualitative approach. The research data were obtained through observation of influencer accounts that endorse Lumpia Semarang products.Â  To support data analysis, various supporting sources were extracted, such as publications on various official and popular sites.Â  The results of the study concluded that the marketing strategy carried out by one of the culinary business actors, namely lumpiasemarang.jkt, using influencers was very effective because it aroused and aroused consumer curiosity to try this culinary.Â  The influencers used are included in the macro influencer category such as half of the fat which is an influencer with many followers who are already popular with many groups so that they are able to popularize Lumia Semarang cuisine among Indonesian people.","author":[{"dropping-particle":"","family":"Hardini","given":"Reziyana","non-dropping-particle":"","parse-names":false,"suffix":""},{"dropping-particle":"","family":"Iffa Nurani","given":"Mentari","non-dropping-particle":"","parse-names":false,"suffix":""},{"dropping-particle":"","family":"Larasayu","given":"Faradita","non-dropping-particle":"","parse-names":false,"suffix":""},{"dropping-particle":"","family":"Permana","given":"Erwin","non-dropping-particle":"","parse-names":false,"suffix":""}],"container-title":"Jurnal Riset Pendidikan Ekonomi","id":"ITEM-1","issue":"2","issued":{"date-parts":[["2023"]]},"page":"134-148","title":"Strategi pemasaran bisnis kuliner menggunakan influencer di media sosial instagram pasca pandemi","type":"article-journal","volume":"8"},"uris":["http://www.mendeley.com/documents/?uuid=f9833c2f-fbe4-411b-8970-fdddfe2bde79","http://www.mendeley.com/documents/?uuid=d478bb38-62a1-4942-b9a8-df1bebf78d92"]},{"id":"ITEM-2","itemData":{"author":[{"dropping-particle":"","family":"Susanti","given":"Hany","non-dropping-particle":"","parse-names":false,"suffix":""},{"dropping-particle":"","family":"Soebiantoro","given":"Ugy","non-dropping-particle":"","parse-names":false,"suffix":""}],"id":"ITEM-2","issue":"19","issued":{"date-parts":[["2024"]]},"page":"394-402","title":"Optimalisasi Penggunaan Instagram Dan Facebook Sebagai Media Promosi Pada Bisnis Segobowel","type":"article-journal","volume":"10"},"uris":["http://www.mendeley.com/documents/?uuid=d4507d0f-9a50-4e4a-bccf-2d72c5a56d55","http://www.mendeley.com/documents/?uuid=1266a8ba-8de8-4ac4-8125-c96b3fda106f"]}],"mendeley":{"formattedCitation":"(Hardini et al. 2023; Susanti and Soebiantoro 2024)","manualFormatting":"Hardini et al. (2023); Susanti &amp; Soebiantoro (2024)","plainTextFormattedCitation":"(Hardini et al. 2023; Susanti and Soebiantoro 2024)","previouslyFormattedCitation":"(Hardini et al. 2023; Susanti and Soebiantoro 2024)"},"properties":{"noteIndex":0},"schema":"https://github.com/citation-style-language/schema/raw/master/csl-citation.json"}</w:instrText>
      </w:r>
      <w:r w:rsidRPr="00EE1DFE">
        <w:rPr>
          <w:rFonts w:ascii="Adobe Garamond Pro" w:hAnsi="Adobe Garamond Pro" w:cs="Times New Roman"/>
        </w:rPr>
        <w:fldChar w:fldCharType="separate"/>
      </w:r>
      <w:r w:rsidRPr="00EE1DFE">
        <w:rPr>
          <w:rFonts w:ascii="Adobe Garamond Pro" w:hAnsi="Adobe Garamond Pro" w:cs="Times New Roman"/>
          <w:noProof/>
        </w:rPr>
        <w:t>Hardini et al. (2023); Susanti &amp; Soebiantoro (2024)</w:t>
      </w:r>
      <w:r w:rsidRPr="00EE1DFE">
        <w:rPr>
          <w:rFonts w:ascii="Adobe Garamond Pro" w:hAnsi="Adobe Garamond Pro" w:cs="Times New Roman"/>
        </w:rPr>
        <w:fldChar w:fldCharType="end"/>
      </w:r>
      <w:r w:rsidRPr="00EE1DFE">
        <w:rPr>
          <w:rFonts w:ascii="Adobe Garamond Pro" w:hAnsi="Adobe Garamond Pro" w:cs="Times New Roman"/>
        </w:rPr>
        <w:t xml:space="preserve"> Adding with the results of analysis how to design interactive content and direct interaction with consumers through social media, along with implementing paid or unpaid promotional strategies that are key factors for the success of a business in the modern culinary aspect.</w:t>
      </w:r>
    </w:p>
    <w:p w14:paraId="7DECCD73" w14:textId="137F880D" w:rsidR="00EE1DFE" w:rsidRPr="00EE1DFE" w:rsidRDefault="002544F2" w:rsidP="00A73294">
      <w:pPr>
        <w:tabs>
          <w:tab w:val="left" w:pos="851"/>
        </w:tabs>
        <w:spacing w:line="360" w:lineRule="auto"/>
        <w:jc w:val="both"/>
        <w:rPr>
          <w:rFonts w:ascii="Adobe Garamond Pro" w:hAnsi="Adobe Garamond Pro" w:cs="Times New Roman"/>
        </w:rPr>
      </w:pPr>
      <w:r>
        <w:rPr>
          <w:rFonts w:ascii="Adobe Garamond Pro" w:hAnsi="Adobe Garamond Pro" w:cs="Times New Roman"/>
        </w:rPr>
        <w:tab/>
      </w:r>
      <w:r w:rsidR="00EE1DFE" w:rsidRPr="00EE1DFE">
        <w:rPr>
          <w:rFonts w:ascii="Adobe Garamond Pro" w:hAnsi="Adobe Garamond Pro" w:cs="Times New Roman"/>
        </w:rPr>
        <w:t xml:space="preserve">Previous research has shown the effectiveness of the use of social media in the culinary business. More specific studies conducted by </w:t>
      </w:r>
      <w:r w:rsidR="00EE1DFE" w:rsidRPr="00EE1DFE">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{"citationItems":[{"id":"ITEM-1","itemData":{"DOI":"10.54259/mukasi.v4i2.4355","ISSN":"2828-3589","abstract":"This study aims to examine the strategy of utilizing Instagram media as a culinary promotion medium on the @Kepdan_Kopi account. The background of this study is based on the rapid development of social media as a digital marketing tool, especially Instagram which has great potential in expanding the reach of culinary product promotion. This study aims to understand how the @Kepdan_Kopi account uses Instagram to increase its appeal and interaction with consumers. The method used is descriptive qualitative with data collection techniques through observation of @Kepdan_Kopi Instagram content, interviews with account managers, and documentation of promotional activities. Data analysis was carried out inductively by examining content patterns, communication strategies, and audience responses to describe in detail the promotional practices carried out. The results of the study show that the @Kepdan_Kopi account utilizes Instagram features such as stories, reels, and feeds creatively to build brand awareness and engagement. The strategies implemented include presenting attractive visuals, using persuasive captions, and actively interacting with followers to increase customer loyalty. This approach is effective in attracting attention and strengthening the image of the culinary product being promoted. In conclusion, Instagram is a strategic promotional media for culinary businesses such as @Kepdan_Kopi by utilizing digital features optimally. This study provides important insights for culinary business actors in developing adaptive and innovative digital marketing strategies.","author":[{"dropping-particle":"","family":"Ritonga","given":"Khairunnisa","non-dropping-particle":"","parse-names":false,"suffix":""},{"dropping-particle":"","family":"Rasyid","given":"Abdul","non-dropping-particle":"","parse-names":false,"suffix":""}],"container-title":"MUKASI: Jurnal Ilmu Komunikasi","id":"ITEM-1","issue":"2","issued":{"date-parts":[["2025"]]},"page":"341-351","title":"Strategi Pemanfaatan Media Instagram sebagai Media Promosi Kuliner pada Akun @Kepdan_Kopi","type":"article-journal","volume":"4"},"uris":["http://www.mendeley.com/documents/?uuid=279daaf9-8760-461b-a2af-2ac3ad35cc69","http://www.mendeley.com/documents/?uuid=9188d7f8-27fe-42f8-adfe-e4bbd0766a70"]}],"mendeley":{"formattedCitation":"(Ritonga and Rasyid 2025)","manualFormatting":"Stuart &amp; Rashid (2025)","plainTextFormattedCitation":"(Ritonga and Rasyid 2025)","previouslyFormattedCitation":"(Ritonga and Rasyid 2025)"},"properties":{"noteIndex":0},"schema":"https://github.com/citation-style-language/schema/raw/master/csl-citation.json"}</w:instrText>
      </w:r>
      <w:r w:rsidR="00EE1DFE" w:rsidRPr="00EE1DFE">
        <w:rPr>
          <w:rFonts w:ascii="Adobe Garamond Pro" w:hAnsi="Adobe Garamond Pro" w:cs="Times New Roman"/>
        </w:rPr>
        <w:fldChar w:fldCharType="separate"/>
      </w:r>
      <w:r w:rsidR="00EE1DFE" w:rsidRPr="00EE1DFE">
        <w:rPr>
          <w:rFonts w:ascii="Adobe Garamond Pro" w:hAnsi="Adobe Garamond Pro" w:cs="Times New Roman"/>
          <w:noProof/>
        </w:rPr>
        <w:t>Stuart &amp; Rashid (2025)</w:t>
      </w:r>
      <w:r w:rsidR="00EE1DFE" w:rsidRPr="00EE1DFE">
        <w:rPr>
          <w:rFonts w:ascii="Adobe Garamond Pro" w:hAnsi="Adobe Garamond Pro" w:cs="Times New Roman"/>
        </w:rPr>
        <w:fldChar w:fldCharType="end"/>
      </w:r>
      <w:r w:rsidR="00EE1DFE" w:rsidRPr="00EE1DFE">
        <w:rPr>
          <w:rFonts w:ascii="Adobe Garamond Pro" w:hAnsi="Adobe Garamond Pro" w:cs="Times New Roman"/>
        </w:rPr>
        <w:t xml:space="preserve"> that analyzes the effectiveness in the use of the feature Instagram like Stories, Reelsand Feed with a quantitative approach to increasing brand awareness and customer loyalty. Research in Facebook and Instagram shows that choosing the right type of content can be very influential on the effectiveness of the promotion. Research by </w:t>
      </w:r>
      <w:r w:rsidR="00EE1DFE" w:rsidRPr="00EE1DFE">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{"citationItems":[{"id":"ITEM-1","itemData":{"author":[{"dropping-particle":"","family":"Setiawan","given":"Rafi Azka","non-dropping-particle":"","parse-names":false,"suffix":""},{"dropping-particle":"","family":"Taufiq","given":"Jelan","non-dropping-particle":"","parse-names":false,"suffix":""}],"id":"ITEM-1","issued":{"date-parts":[["2025"]]},"page":"1684-1692","title":"Dari Dapur ke Dunia Maya: Strategi Komunikasi","type":"article-journal","volume":"56"},"uris":["http://www.mendeley.com/documents/?uuid=7eb3876e-0017-4c26-b671-83e3cd4c2727","http://www.mendeley.com/documents/?uuid=325fc861-5fb3-420e-91b4-28e7d7d8f4e6"]}],"mendeley":{"formattedCitation":"(Setiawan and Taufiq 2025)","plainTextFormattedCitation":"(Setiawan and Taufiq 2025)","previouslyFormattedCitation":"(Setiawan and Taufiq 2025)"},"properties":{"noteIndex":0},"schema":"https://github.com/citation-style-language/schema/raw/master/csl-citation.json"}</w:instrText>
      </w:r>
      <w:r w:rsidR="00EE1DFE" w:rsidRPr="00EE1DFE">
        <w:rPr>
          <w:rFonts w:ascii="Adobe Garamond Pro" w:hAnsi="Adobe Garamond Pro" w:cs="Times New Roman"/>
        </w:rPr>
        <w:fldChar w:fldCharType="separate"/>
      </w:r>
      <w:r w:rsidR="00C40B61" w:rsidRPr="00C40B61">
        <w:rPr>
          <w:rFonts w:ascii="Adobe Garamond Pro" w:hAnsi="Adobe Garamond Pro" w:cs="Times New Roman"/>
          <w:noProof/>
        </w:rPr>
        <w:t>(Setiawan and Taufiq 2025)</w:t>
      </w:r>
      <w:r w:rsidR="00EE1DFE" w:rsidRPr="00EE1DFE">
        <w:rPr>
          <w:rFonts w:ascii="Adobe Garamond Pro" w:hAnsi="Adobe Garamond Pro" w:cs="Times New Roman"/>
        </w:rPr>
        <w:fldChar w:fldCharType="end"/>
      </w:r>
      <w:r w:rsidR="00EE1DFE" w:rsidRPr="00EE1DFE">
        <w:rPr>
          <w:rFonts w:ascii="Adobe Garamond Pro" w:hAnsi="Adobe Garamond Pro" w:cs="Times New Roman"/>
        </w:rPr>
        <w:t xml:space="preserve"> also conduct an analysis of the role of the platform TikTok with authentic and engaging content that can significantly influence purchasing decision-making, especially for younger generations using the case study and survey approach. </w:t>
      </w:r>
    </w:p>
    <w:p w14:paraId="0092AAB8" w14:textId="595181DB" w:rsidR="00EE1DFE" w:rsidRPr="00EE1DFE" w:rsidRDefault="00EE1DFE" w:rsidP="002544F2">
      <w:pPr>
        <w:spacing w:line="360" w:lineRule="auto"/>
        <w:ind w:firstLine="720"/>
        <w:jc w:val="both"/>
        <w:rPr>
          <w:rFonts w:ascii="Adobe Garamond Pro" w:hAnsi="Adobe Garamond Pro" w:cs="Times New Roman"/>
        </w:rPr>
      </w:pPr>
      <w:r w:rsidRPr="00EE1DFE">
        <w:rPr>
          <w:rFonts w:ascii="Adobe Garamond Pro" w:hAnsi="Adobe Garamond Pro" w:cs="Times New Roman"/>
        </w:rPr>
        <w:t xml:space="preserve">In the implementation of culinary digital marketing, </w:t>
      </w:r>
      <w:r w:rsidRPr="00EE1DFE">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{"citationItems":[{"id":"ITEM-1","itemData":{"DOI":"10.9744/scriptura.14.1.25-33","ISSN":"1978-385X","abstract":"Penelitian ini bertujuan untuk mengetahui bagaimana penerapan digital storytelling yang dilakukan oleh akun TikTok @kuliner_bks sebagai penyedia jasa paid promote dalam kegiatan promosi kuliner Bekasi. Penelitian ini menggunakan analisis model AISAS. Jenis penelitian ini adalah kualitatif dengan metode studi kasus. Hasil penelitian menunjukkan, akun TikTok @kuliner_bks sebagai penyedia jasa paid promote menggunakan penerapan digital storytelling dalam promosi produknya dimulai dari pemilihan nama, logo, talent, dan narasi. Ditinjau melalui model AISAS, penerapan digital storytelling akun TikTok @kuliner_bks menjadi daya tarik bagi tenant (client) yang akhirnya melakukan kerja sama dengan akun TikTok @kuliner_bks.","author":[{"dropping-particle":"","family":"Manah","given":"Mae","non-dropping-particle":"","parse-names":false,"suffix":""},{"dropping-particle":"","family":"Yudhawasthi","given":"Ciwuk Musiana","non-dropping-particle":"","parse-names":false,"suffix":""}],"container-title":"Scriptura","id":"ITEM-1","issue":"1","issued":{"date-parts":[["2024"]]},"page":"25-33","title":"Digital Storytelling Melalui Media Sosial Tiktok dalam Promosi Kuliner Bekasi","type":"article-journal","volume":"14"},"uris":["http://www.mendeley.com/documents/?uuid=40895ca7-580a-401e-8670-976ba9594e68","http://www.mendeley.com/documents/?uuid=acb8a9b1-2802-4659-b8e9-2605a2a32fdb"]}],"mendeley":{"formattedCitation":"(Manah and Yudhawasthi 2024)","manualFormatting":"Manah &amp; Yudhawasthi (2024)","plainTextFormattedCitation":"(Manah and Yudhawasthi 2024)","previouslyFormattedCitation":"(Manah and Yudhawasthi 2024)"},"properties":{"noteIndex":0},"schema":"https://github.com/citation-style-language/schema/raw/master/csl-citation.json"}</w:instrText>
      </w:r>
      <w:r w:rsidRPr="00EE1DFE">
        <w:rPr>
          <w:rFonts w:ascii="Adobe Garamond Pro" w:hAnsi="Adobe Garamond Pro" w:cs="Times New Roman"/>
        </w:rPr>
        <w:fldChar w:fldCharType="separate"/>
      </w:r>
      <w:r w:rsidRPr="00EE1DFE">
        <w:rPr>
          <w:rFonts w:ascii="Adobe Garamond Pro" w:hAnsi="Adobe Garamond Pro" w:cs="Times New Roman"/>
          <w:noProof/>
        </w:rPr>
        <w:t>Manah &amp; Yudhawasthi (2024)</w:t>
      </w:r>
      <w:r w:rsidRPr="00EE1DFE">
        <w:rPr>
          <w:rFonts w:ascii="Adobe Garamond Pro" w:hAnsi="Adobe Garamond Pro" w:cs="Times New Roman"/>
        </w:rPr>
        <w:fldChar w:fldCharType="end"/>
      </w:r>
      <w:r w:rsidRPr="00EE1DFE">
        <w:rPr>
          <w:rFonts w:ascii="Adobe Garamond Pro" w:hAnsi="Adobe Garamond Pro" w:cs="Times New Roman"/>
        </w:rPr>
        <w:t xml:space="preserve"> Analyze the differences in the effectiveness of digital culinary marketing using paid advertising such as Instagram Ads and Facebook Ads that can reach a wider and more specific target market, as opposed to unpaid marketing that relies on word of mouth, combining the analysis of advertising data and consumer behavior. However, from some of these studies, there has been no related research that analyzes the feasibility of the culinary business from an overall point of view, especially those that combine financial, technical &amp; operational, human resources, market, and legality analysis.</w:t>
      </w:r>
    </w:p>
    <w:p w14:paraId="20D8C2F8" w14:textId="24E9BF56" w:rsidR="00EE1DFE" w:rsidRDefault="00EE1DFE" w:rsidP="002544F2">
      <w:pPr>
        <w:spacing w:line="360" w:lineRule="auto"/>
        <w:ind w:firstLine="720"/>
        <w:jc w:val="both"/>
        <w:rPr>
          <w:rFonts w:ascii="Adobe Garamond Pro" w:hAnsi="Adobe Garamond Pro" w:cs="Times New Roman"/>
        </w:rPr>
      </w:pPr>
      <w:r w:rsidRPr="00EE1DFE">
        <w:rPr>
          <w:rFonts w:ascii="Adobe Garamond Pro" w:hAnsi="Adobe Garamond Pro" w:cs="Times New Roman"/>
        </w:rPr>
        <w:t xml:space="preserve">This research focuses on Amplang's business in Samarinda, East Kalimantan. The venture has been running for several years with traditional production systems and marketing through direct sales as well as informal digital (WhatsApp dan word of mouth). The current business condition displays market potential and good product quality, but still faces challenges in terms of efficiency and business development </w:t>
      </w:r>
      <w:r w:rsidRPr="00EE1DFE">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{"citationItems":[{"id":"ITEM-1","itemData":{"DOI":"10.33509/admit.v1i2.2437","abstract":"Pembukaan cabang baru merupakan salah satu upaya untuk mengembangkan suatu usaha dan meningkatkan pangsa pasar lebih luas, namun langkah dalam pembukaan cabang baru juga perlu dipersiapkan dengan matang agar suatu perusahaan dapat terhindar dari berbagai macam resiko kerugian. Salah satu cara agar terhindar dari resiko kerugian ialah dengan melakukan studi kelayakan usaha, studi kelayakan usaha adalah metode analisis untuk menentukan kelayakan suatu usaha agar dapat terhindar dari berbagai ancaman dan resiko yang mungkin bisa terjadi di masa yang akang datang. Penelitian ini dilakukan pada PT Talenta International Tourism Makassar, penelitian ini menggunakan metode kualitatif desktriptif untuk menjelaskan hasil secara deskriptif. Penelitian dilaksanakan pada bulan maret 2023 hingga Juli 2023, sumber data diperoleh dari data primer dan data sekunder. Teknik pengumpulan data diperoleh dari wawancara dan telaah dokumen. Aspek yang akan ditinjau dalam penelitian ini yakni Aspek Umum dan Manajemen, Aspek Pasar dan Pemasaran, Aspek Teknik, dan Aspek Keuangan.","author":[{"dropping-particle":"","family":"Hartanto Ismail","given":"Adrian","non-dropping-particle":"","parse-names":false,"suffix":""},{"dropping-particle":"","family":"Rahmat","given":"Rahmat","non-dropping-particle":"","parse-names":false,"suffix":""}],"container-title":"Admit: Jurnal Administrasi Terapan","id":"ITEM-1","issue":"2","issued":{"date-parts":[["2023"]]},"page":"223-240","title":"Studi Kelayakan Bisnis Untuk Pengembangan Usaha Pada Pt Talenta International Tourism","type":"article-journal","volume":"1"},"uris":["http://www.mendeley.com/documents/?uuid=f35deade-31cf-4309-857c-f517cadc08fd"]}],"mendeley":{"formattedCitation":"(Hartanto Ismail and Rahmat 2023)","plainTextFormattedCitation":"(Hartanto Ismail and Rahmat 2023)","previouslyFormattedCitation":"(Hartanto Ismail and Rahmat 2023)"},"properties":{"noteIndex":0},"schema":"https://github.com/citation-style-language/schema/raw/master/csl-citation.json"}</w:instrText>
      </w:r>
      <w:r w:rsidRPr="00EE1DFE">
        <w:rPr>
          <w:rFonts w:ascii="Adobe Garamond Pro" w:hAnsi="Adobe Garamond Pro" w:cs="Times New Roman"/>
        </w:rPr>
        <w:fldChar w:fldCharType="separate"/>
      </w:r>
      <w:r w:rsidR="00C40B61" w:rsidRPr="00C40B61">
        <w:rPr>
          <w:rFonts w:ascii="Adobe Garamond Pro" w:hAnsi="Adobe Garamond Pro" w:cs="Times New Roman"/>
          <w:noProof/>
        </w:rPr>
        <w:t>(Hartanto Ismail and Rahmat 2023)</w:t>
      </w:r>
      <w:r w:rsidRPr="00EE1DFE">
        <w:rPr>
          <w:rFonts w:ascii="Adobe Garamond Pro" w:hAnsi="Adobe Garamond Pro" w:cs="Times New Roman"/>
        </w:rPr>
        <w:fldChar w:fldCharType="end"/>
      </w:r>
      <w:r w:rsidRPr="00EE1DFE">
        <w:rPr>
          <w:rFonts w:ascii="Adobe Garamond Pro" w:hAnsi="Adobe Garamond Pro" w:cs="Times New Roman"/>
        </w:rPr>
        <w:t>.</w:t>
      </w:r>
    </w:p>
    <w:p w14:paraId="62591ACB" w14:textId="0E09D57A" w:rsidR="009020B5" w:rsidRPr="009762AE" w:rsidRDefault="007672DE" w:rsidP="009762AE">
      <w:pPr>
        <w:pStyle w:val="ListParagraph"/>
        <w:numPr>
          <w:ilvl w:val="0"/>
          <w:numId w:val="2"/>
        </w:numPr>
        <w:tabs>
          <w:tab w:val="left" w:pos="360"/>
        </w:tabs>
        <w:suppressAutoHyphens/>
        <w:spacing w:line="360" w:lineRule="auto"/>
        <w:ind w:hanging="720"/>
        <w:jc w:val="both"/>
        <w:rPr>
          <w:rFonts w:ascii="Arial" w:hAnsi="Arial" w:cs="Arial"/>
          <w:b/>
          <w:color w:val="2E74B5" w:themeColor="accent1" w:themeShade="BF"/>
        </w:rPr>
      </w:pPr>
      <w:r w:rsidRPr="009762AE">
        <w:rPr>
          <w:rFonts w:ascii="Arial" w:hAnsi="Arial" w:cs="Arial"/>
          <w:b/>
          <w:color w:val="2E74B5" w:themeColor="accent1" w:themeShade="BF"/>
        </w:rPr>
        <w:t xml:space="preserve">LITERATURE REVIEW </w:t>
      </w:r>
    </w:p>
    <w:p w14:paraId="284E1533" w14:textId="484CC0EF" w:rsidR="009020B5" w:rsidRPr="009020B5" w:rsidRDefault="009020B5" w:rsidP="00A73294">
      <w:pPr>
        <w:spacing w:line="360" w:lineRule="auto"/>
        <w:jc w:val="both"/>
        <w:rPr>
          <w:rFonts w:ascii="Adobe Garamond Pro" w:hAnsi="Adobe Garamond Pro" w:cs="Times New Roman"/>
        </w:rPr>
      </w:pPr>
      <w:r w:rsidRPr="009020B5">
        <w:rPr>
          <w:rFonts w:ascii="Adobe Garamond Pro" w:hAnsi="Adobe Garamond Pro" w:cs="Times New Roman"/>
        </w:rPr>
        <w:t xml:space="preserve">A feasibility study is a thorough evaluation that aims to assess whether or not a venture is feasible to carry out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{"citationItems":[{"id":"ITEM-1","itemData":{"author":[{"dropping-particle":"","family":"Johan","given":"Suwinto","non-dropping-particle":"","parse-names":false,"suffix":""}],"container-title":"Yogyakarta: Graha Ilmu","id":"ITEM-1","issued":{"date-parts":[["2011"]]},"title":"Studi kelayakan pengembangan bisnis","type":"article-journal","volume":"13"},"uris":["http://www.mendeley.com/documents/?uuid=547dfe31-5295-417a-8b48-f866d8cd96f2","http://www.mendeley.com/documents/?uuid=87eb014e-ca76-4542-a7e0-83e3c202cf5d"]}],"mendeley":{"formattedCitation":"(Johan 2011)","plainTextFormattedCitation":"(Johan 2011)","previouslyFormattedCitation":"(Johan 2011)"},"properties":{"noteIndex":0},"schema":"https://github.com/citation-style-language/schema/raw/master/csl-citation.json"}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(Johan 2011)</w:t>
      </w:r>
      <w:r w:rsidRPr="009020B5">
        <w:rPr>
          <w:rFonts w:ascii="Adobe Garamond Pro" w:hAnsi="Adobe Garamond Pro" w:cs="Times New Roman"/>
        </w:rPr>
        <w:fldChar w:fldCharType="end"/>
      </w:r>
      <w:r w:rsidRPr="009020B5">
        <w:rPr>
          <w:rFonts w:ascii="Adobe Garamond Pro" w:hAnsi="Adobe Garamond Pro" w:cs="Times New Roman"/>
        </w:rPr>
        <w:t xml:space="preserve">A business feasibility study is an evaluation of a business plan that not only considers </w:t>
      </w:r>
      <w:r w:rsidRPr="009020B5">
        <w:rPr>
          <w:rFonts w:ascii="Adobe Garamond Pro" w:hAnsi="Adobe Garamond Pro" w:cs="Times New Roman"/>
        </w:rPr>
        <w:lastRenderedPageBreak/>
        <w:t xml:space="preserve">whether a business is feasible to establish, but also how the business will run regularly with the goal of achieving what is targeted without any set time limit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{"citationItems":[{"id":"ITEM-1","itemData":{"DOI":"10.32877/ef.v6i2.1366","ISSN":"2656-0941","abstract":"Laporan terbaru ukuran pasar bisnis percetakan dunia, menempati posisi lebih dari USD 489,3 miliar dengan jenjang kenaikan sebesar 2,8% dari tahun ke tahun. Peramalan tahun 2023 bisnis percetakan menjadi bisnis yang paling banyak muncul diakibatkan karena keefektivan biaya, dapat menjangkau semua pasar dan waktu produksi yang lebih cepat. Tujuan kajian ini untuk menilai kelayakan usaha dari CV. Gema Nusa. Metode penelitian yang digunakan merupakan penelitian kualitatif dimana rumusan masalah ini digunakan untuk menganalisis atau mengkaji pada kelayakan suatu bisnis. Analisis data yang digunakan analisis deskriptif. Untuk mengarahkan hasil penelitian sesuai dengan studi kelayakan bisnis. Dapat disimpulkan menurut bentuk usaha dan izin yang sudah dimiliki hasil analisis aspek hukum CV. Gema Nusa layak dijalankan. Menilai aspek manajemen yang layak perusahaan tersebut memiliki struktur organisasi yang jelas. Berdasar hasil pada aspek industri CV. Gema Nusa sangat layak dijalankan karena melihat potensi pasar yang sangat besar dan mampu bertahan dalam persaingan sesama industri yang cukup ketat dengan tetap mempertahankan kualitas dari produk yang dihasilkan. Melihat kejelasan segmen pasar, target pasar dan bauran pemasaran (produk, harga, promosi dan distribusi) yang sudah dilakukan penilaian kelayakan bisnis pada aspek pemasaran CV. Gema Nusa sudah layak dijalankan. Kelayakan SDM yang dimiliki CV. Gema Nusa dapat disimpulkan layak, dikarenakan memiliki karyawan dengan lulusan yang sesuai dengan spesifikasi pekerjaan. Kelayakan aspek produksi yang dimiliki CV. Gema Nusa, dilihat dari kemudahan proses produksi dimana, CV.Gema Nusa memiliki SDM yang cukup baik dari sisi kuantitas dan spesifikasi lulusan sesuai dengan deskripsi pekerjaan yang dibutuhkan, ketersediaan fasilitas mesin produksi, dan lokasi produksi yang cukup mendukung sehingga dalam hal ini aspek produksi CV. Gema Nusa dinyatakan layak. Kesimpulan dari hasil kajian menunjukkan bahwa CV Gema Nusa layak untuk dijalankan, dilihat dari beberapa aspek yang dievaluasi dalam kelayakan bisnis.","author":[{"dropping-particle":"","family":"Riantisari","given":"Rahmawati","non-dropping-particle":"","parse-names":false,"suffix":""},{"dropping-particle":"","family":"Nurrokhmini","given":"Alfiati","non-dropping-particle":"","parse-names":false,"suffix":""},{"dropping-particle":"","family":"Tamtama","given":"Noviadry Nur","non-dropping-particle":"","parse-names":false,"suffix":""}],"container-title":"eCo-Fin","id":"ITEM-1","issue":"2","issued":{"date-parts":[["2024"]]},"page":"249-257","title":"Analisis Studi Kelayakan Bisnis Pada CV. Gema Nusa Klaten Jawa Tengah","type":"article-journal","volume":"6"},"uris":["http://www.mendeley.com/documents/?uuid=469ee7d6-806f-4f2d-a67b-0278c06ae069","http://www.mendeley.com/documents/?uuid=eea2ced9-71fc-44f4-b33e-690d9d7e2902"]}],"mendeley":{"formattedCitation":"(Riantisari, Nurrokhmini, and Tamtama 2024)","plainTextFormattedCitation":"(Riantisari, Nurrokhmini, and Tamtama 2024)","previouslyFormattedCitation":"(Riantisari, Nurrokhmini, and Tamtama 2024)"},"properties":{"noteIndex":0},"schema":"https://github.com/citation-style-language/schema/raw/master/csl-citation.json"}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(Riantisari, Nurrokhmini, and Tamtama 2024)</w:t>
      </w:r>
      <w:r w:rsidRPr="009020B5">
        <w:rPr>
          <w:rFonts w:ascii="Adobe Garamond Pro" w:hAnsi="Adobe Garamond Pro" w:cs="Times New Roman"/>
        </w:rPr>
        <w:fldChar w:fldCharType="end"/>
      </w:r>
      <w:r w:rsidRPr="009020B5">
        <w:rPr>
          <w:rFonts w:ascii="Adobe Garamond Pro" w:hAnsi="Adobe Garamond Pro" w:cs="Times New Roman"/>
        </w:rPr>
        <w:t xml:space="preserve">. The feasibility of a business can be assessed from several perspectives. From each aspect, namely; Market, financial, technical &amp; operational, human resources, and legality aspects must meet certain standards to be considered feasible, but assessment decision-making does not depend on just one aspect, it requires an evaluation of business feasibility based on all interrelated aspects. The feasibility of a business indicates that the business carried out will provide financial and non-financial benefits according to the initial desired goal. The definition of success is to provide benefits to the company that is already running, but also to investors, creditors, governments, and the general public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{"citationItems":[{"id":"ITEM-1","itemData":{"DOI":"10.32877/ef.v6i2.1366","ISSN":"2656-0941","abstract":"Laporan terbaru ukuran pasar bisnis percetakan dunia, menempati posisi lebih dari USD 489,3 miliar dengan jenjang kenaikan sebesar 2,8% dari tahun ke tahun. Peramalan tahun 2023 bisnis percetakan menjadi bisnis yang paling banyak muncul diakibatkan karena keefektivan biaya, dapat menjangkau semua pasar dan waktu produksi yang lebih cepat. Tujuan kajian ini untuk menilai kelayakan usaha dari CV. Gema Nusa. Metode penelitian yang digunakan merupakan penelitian kualitatif dimana rumusan masalah ini digunakan untuk menganalisis atau mengkaji pada kelayakan suatu bisnis. Analisis data yang digunakan analisis deskriptif. Untuk mengarahkan hasil penelitian sesuai dengan studi kelayakan bisnis. Dapat disimpulkan menurut bentuk usaha dan izin yang sudah dimiliki hasil analisis aspek hukum CV. Gema Nusa layak dijalankan. Menilai aspek manajemen yang layak perusahaan tersebut memiliki struktur organisasi yang jelas. Berdasar hasil pada aspek industri CV. Gema Nusa sangat layak dijalankan karena melihat potensi pasar yang sangat besar dan mampu bertahan dalam persaingan sesama industri yang cukup ketat dengan tetap mempertahankan kualitas dari produk yang dihasilkan. Melihat kejelasan segmen pasar, target pasar dan bauran pemasaran (produk, harga, promosi dan distribusi) yang sudah dilakukan penilaian kelayakan bisnis pada aspek pemasaran CV. Gema Nusa sudah layak dijalankan. Kelayakan SDM yang dimiliki CV. Gema Nusa dapat disimpulkan layak, dikarenakan memiliki karyawan dengan lulusan yang sesuai dengan spesifikasi pekerjaan. Kelayakan aspek produksi yang dimiliki CV. Gema Nusa, dilihat dari kemudahan proses produksi dimana, CV.Gema Nusa memiliki SDM yang cukup baik dari sisi kuantitas dan spesifikasi lulusan sesuai dengan deskripsi pekerjaan yang dibutuhkan, ketersediaan fasilitas mesin produksi, dan lokasi produksi yang cukup mendukung sehingga dalam hal ini aspek produksi CV. Gema Nusa dinyatakan layak. Kesimpulan dari hasil kajian menunjukkan bahwa CV Gema Nusa layak untuk dijalankan, dilihat dari beberapa aspek yang dievaluasi dalam kelayakan bisnis.","author":[{"dropping-particle":"","family":"Riantisari","given":"Rahmawati","non-dropping-particle":"","parse-names":false,"suffix":""},{"dropping-particle":"","family":"Nurrokhmini","given":"Alfiati","non-dropping-particle":"","parse-names":false,"suffix":""},{"dropping-particle":"","family":"Tamtama","given":"Noviadry Nur","non-dropping-particle":"","parse-names":false,"suffix":""}],"container-title":"eCo-Fin","id":"ITEM-1","issue":"2","issued":{"date-parts":[["2024"]]},"page":"249-257","title":"Analisis Studi Kelayakan Bisnis Pada CV. Gema Nusa Klaten Jawa Tengah","type":"article-journal","volume":"6"},"uris":["http://www.mendeley.com/documents/?uuid=eea2ced9-71fc-44f4-b33e-690d9d7e2902","http://www.mendeley.com/documents/?uuid=469ee7d6-806f-4f2d-a67b-0278c06ae069"]}],"mendeley":{"formattedCitation":"(Riantisari et al. 2024)","plainTextFormattedCitation":"(Riantisari et al. 2024)","previouslyFormattedCitation":"(Riantisari et al. 2024)"},"properties":{"noteIndex":0},"schema":"https://github.com/citation-style-language/schema/raw/master/csl-citation.json"}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(Riantisari et al. 2024)</w:t>
      </w:r>
      <w:r w:rsidRPr="009020B5">
        <w:rPr>
          <w:rFonts w:ascii="Adobe Garamond Pro" w:hAnsi="Adobe Garamond Pro" w:cs="Times New Roman"/>
        </w:rPr>
        <w:fldChar w:fldCharType="end"/>
      </w:r>
      <w:r w:rsidRPr="009020B5">
        <w:rPr>
          <w:rFonts w:ascii="Adobe Garamond Pro" w:hAnsi="Adobe Garamond Pro" w:cs="Times New Roman"/>
        </w:rPr>
        <w:t>.</w:t>
      </w:r>
    </w:p>
    <w:p w14:paraId="56901720" w14:textId="5DA116C4" w:rsidR="009020B5" w:rsidRPr="009020B5" w:rsidRDefault="009020B5" w:rsidP="002544F2">
      <w:pPr>
        <w:spacing w:line="360" w:lineRule="auto"/>
        <w:ind w:firstLine="720"/>
        <w:jc w:val="both"/>
        <w:rPr>
          <w:rFonts w:ascii="Adobe Garamond Pro" w:hAnsi="Adobe Garamond Pro" w:cs="Times New Roman"/>
        </w:rPr>
      </w:pPr>
      <w:r w:rsidRPr="009020B5">
        <w:rPr>
          <w:rFonts w:ascii="Adobe Garamond Pro" w:hAnsi="Adobe Garamond Pro" w:cs="Times New Roman"/>
        </w:rPr>
        <w:t xml:space="preserve">Marketing activities that utilize digital technology and the internet as the main medium in conveying messages and product promotions to consumers are commonly called digital marketing. According to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{"citationItems":[{"id":"ITEM-1","itemData":{"DOI":"10.54066/jrime-itb.v3i1.2790","ISSN":"2985-623X","abstract":"This research explores digital marketing strategies aimed at enhancing brand awareness in the e-commerce era. With the significant shift towards online shopping, brand awareness has become a critical component for businesses. The study utilizes qualitative methods to gather insights on user experiences and perceptions regarding digital marketing and brand awareness. Findings indicate that effective digital marketing strategies, including social media engagement, influencer collaborations, and data analysis, significantly influence brand visibility and consumer interaction. The implications suggest that businesses must adapt their marketing strategies to leverage digital platforms for improved consumer connections and brand recognition..","author":[{"dropping-particle":"","family":"Rifaldi","given":"Muhammad","non-dropping-particle":"","parse-names":false,"suffix":""},{"dropping-particle":"","family":"Hartati","given":"Sri","non-dropping-particle":"","parse-names":false,"suffix":""},{"dropping-particle":"","family":"Vajriansyah","given":"Muhammad A.","non-dropping-particle":"","parse-names":false,"suffix":""}],"container-title":"Jurnal Riset Manajemen Dan Ekonomi (Jrime)","id":"ITEM-1","issue":"1","issued":{"date-parts":[["2024"]]},"page":"58-65","title":"Strategi Pemasaran Digital untuk Meningkatkan Brand Awareness di Era E-Commerce","type":"article-journal","volume":"3"},"uris":["http://www.mendeley.com/documents/?uuid=22ca3c89-ab1d-4f4a-bcfb-67dafe4ad2da"]}],"mendeley":{"formattedCitation":"(Rifaldi, Hartati, and Vajriansyah 2024)","manualFormatting":"Rifaldi et al. (2024)","plainTextFormattedCitation":"(Rifaldi, Hartati, and Vajriansyah 2024)","previouslyFormattedCitation":"(Rifaldi, Hartati, and Vajriansyah 2024)"},"properties":{"noteIndex":0},"schema":"https://github.com/citation-style-language/schema/raw/master/csl-citation.json"}</w:instrText>
      </w:r>
      <w:r w:rsidRPr="009020B5">
        <w:rPr>
          <w:rFonts w:ascii="Adobe Garamond Pro" w:hAnsi="Adobe Garamond Pro" w:cs="Times New Roman"/>
        </w:rPr>
        <w:fldChar w:fldCharType="separate"/>
      </w:r>
      <w:r w:rsidRPr="009020B5">
        <w:rPr>
          <w:rFonts w:ascii="Adobe Garamond Pro" w:hAnsi="Adobe Garamond Pro" w:cs="Times New Roman"/>
          <w:noProof/>
        </w:rPr>
        <w:t>Rifaldi et al. (2024)</w:t>
      </w:r>
      <w:r w:rsidRPr="009020B5">
        <w:rPr>
          <w:rFonts w:ascii="Adobe Garamond Pro" w:hAnsi="Adobe Garamond Pro" w:cs="Times New Roman"/>
        </w:rPr>
        <w:fldChar w:fldCharType="end"/>
      </w:r>
      <w:r w:rsidRPr="009020B5">
        <w:rPr>
          <w:rFonts w:ascii="Adobe Garamond Pro" w:hAnsi="Adobe Garamond Pro" w:cs="Times New Roman"/>
        </w:rPr>
        <w:t xml:space="preserve"> The goal of digital marketing is to increase targeted sales and understand customer profiles and customer behavior through media such as websites, emails, social media, and databases. Digital marketing not only increases sales but also provides an opportunity to understand customer behavior through data obtained from online interactions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{"citationItems":[{"id":"ITEM-1","itemData":{"DOI":"10.58192/wawasan.v3i1.2863","ISSN":"2963-5284","abstract":"Usaha Mikro, Kecil, dan Menengah seperti bisnis keripik singkong, memiliki peran signifikan dalam perekonomian Indonesia. Namun, banyak Usaha Mikro, Kecil, dan Menengah menghadapi tantangan dalam mengidentifikasi faktor keberhasilan potensial dan mengembangkan strategi untuk tetap kompetitif di pasar. Penelitian ini bertujuan untuk menganalisis usaha keripik singkong \"Raihanah\" dari aspek pemasaran, teknis, dan operasional. Metode penelitian yang digunakan adalah deskriptif kualitatif dengan pendekatan studi kasus melalui wawancara mendalam. Hasil penelitian menunjukkan bahwa bisnis ini memiliki potensi keberlanjutan yang tinggi, didukung oleh pengelolaan produk yang efektif, diversifikasi produk, dan efisiensi operasional. Namun, tantangan seperti fluktuasi harga bahan baku dan ketergantungan pada musim panen menjadi hambatan yang perlu diatasi. Strategi mitigasi berupa pengelolaan stok bahan baku dan pengembangan pemasaran digital telah diidentifikasi sebagai solusi utama. Dengan penerapan manajemen risiko dan optimalisasi strategi pemasaran, bisnis ini menunjukkan prospek cerah untuk tumbuh dan berkontribusi pada pengembangan sektor Usaha Mikro, Kecil, dan Menengah.    ","author":[{"dropping-particle":"","family":"Rahmidilla","given":"","non-dropping-particle":"","parse-names":false,"suffix":""},{"dropping-particle":"","family":"Saida Ramlah","given":"","non-dropping-particle":"","parse-names":false,"suffix":""},{"dropping-particle":"","family":"Siti Maisyarah","given":"","non-dropping-particle":"","parse-names":false,"suffix":""},{"dropping-particle":"","family":"Faizah","given":"","non-dropping-particle":"","parse-names":false,"suffix":""},{"dropping-particle":"","family":"Muhammad Firliadi Noor Salim","given":"","non-dropping-particle":"","parse-names":false,"suffix":""}],"container-title":"Wawasan : Jurnal Ilmu Manajemen, Ekonomi dan Kewirausahaan","id":"ITEM-1","issue":"1","issued":{"date-parts":[["2024"]]},"page":"166-175","title":"Analisis Usaha pada Keripik Singkong Raihanah di Kabupaten Hulu Sungai Selatan, Kalimantan Selatan Ditinjau dari Aspek Pemasaran, Teknis dan Operasional","type":"article-journal","volume":"3"},"uris":["http://www.mendeley.com/documents/?uuid=b67af6fe-1da7-475f-b267-98400b14e441","http://www.mendeley.com/documents/?uuid=1e08ee0e-e3bc-4e76-915c-a7e8bf6763f9"]}],"mendeley":{"formattedCitation":"(Rahmidilla et al. 2024)","plainTextFormattedCitation":"(Rahmidilla et al. 2024)","previouslyFormattedCitation":"(Rahmidilla et al. 2024)"},"properties":{"noteIndex":0},"schema":"https://github.com/citation-style-language/schema/raw/master/csl-citation.json"}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(Rahmidilla et al. 2024)</w:t>
      </w:r>
      <w:r w:rsidRPr="009020B5">
        <w:rPr>
          <w:rFonts w:ascii="Adobe Garamond Pro" w:hAnsi="Adobe Garamond Pro" w:cs="Times New Roman"/>
        </w:rPr>
        <w:fldChar w:fldCharType="end"/>
      </w:r>
      <w:r w:rsidRPr="009020B5">
        <w:rPr>
          <w:rFonts w:ascii="Adobe Garamond Pro" w:hAnsi="Adobe Garamond Pro" w:cs="Times New Roman"/>
        </w:rPr>
        <w:t>. Today, digital marketing is an important strategy to achieve efficiency and effectiveness in product marketing, especially for small and medium-sized businesses that want to expand their market reach at an affordable cost. This can be applied to amplang businesses by building creative marketing content so that they can compete in the local and international markets.</w:t>
      </w:r>
    </w:p>
    <w:p w14:paraId="70D3F90B" w14:textId="0CC2F841" w:rsidR="009020B5" w:rsidRPr="009020B5" w:rsidRDefault="009020B5" w:rsidP="002544F2">
      <w:pPr>
        <w:spacing w:line="360" w:lineRule="auto"/>
        <w:ind w:firstLine="720"/>
        <w:jc w:val="both"/>
        <w:rPr>
          <w:rFonts w:ascii="Adobe Garamond Pro" w:hAnsi="Adobe Garamond Pro" w:cs="Times New Roman"/>
        </w:rPr>
      </w:pPr>
      <w:r w:rsidRPr="009020B5">
        <w:rPr>
          <w:rFonts w:ascii="Adobe Garamond Pro" w:hAnsi="Adobe Garamond Pro" w:cs="Times New Roman"/>
        </w:rPr>
        <w:t xml:space="preserve">Digital marketing can be interpreted as a marketing effort where messages are conveyed through media that rely on digital technology. However, until now, the internet has become the most significant means of digital technology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{"citationItems":[{"id":"ITEM-1","itemData":{"ISBN":"0749447605","author":[{"dropping-particle":"","family":"Bird","given":"Drayton","non-dropping-particle":"","parse-names":false,"suffix":""}],"id":"ITEM-1","issued":{"date-parts":[["2007"]]},"publisher":"Kogan Page Publishers","title":"Commonsense direct &amp; digital marketing","type":"book"},"uris":["http://www.mendeley.com/documents/?uuid=4778fb8b-7fa7-45d7-a436-61ec5419b081","http://www.mendeley.com/documents/?uuid=cd888968-b4d4-4f83-906d-6a91921a44e5"]}],"mendeley":{"formattedCitation":"(Bird 2007)","plainTextFormattedCitation":"(Bird 2007)","previouslyFormattedCitation":"(Bird 2007)"},"properties":{"noteIndex":0},"schema":"https://github.com/citation-style-language/schema/raw/master/csl-citation.json"}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(Bird 2007)</w:t>
      </w:r>
      <w:r w:rsidRPr="009020B5">
        <w:rPr>
          <w:rFonts w:ascii="Adobe Garamond Pro" w:hAnsi="Adobe Garamond Pro" w:cs="Times New Roman"/>
        </w:rPr>
        <w:fldChar w:fldCharType="end"/>
      </w:r>
      <w:r w:rsidRPr="009020B5">
        <w:rPr>
          <w:rFonts w:ascii="Adobe Garamond Pro" w:hAnsi="Adobe Garamond Pro" w:cs="Times New Roman"/>
        </w:rPr>
        <w:t xml:space="preserve">. Digital marketing is chosen by many people as a business improvement strategy because it is low and efficient, and can be accessed by anyone and anywhere as long as it is connected to the internet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{"citationItems":[{"id":"ITEM-1","itemData":{"DOI":"10.20961/semar.v11i1.57610","ISSN":"2302-3937","abstract":"&lt;p&gt;Perkembangan Usaha Mikro Kecil dan Menengah (UMKM) menjadi stagnan di masa pandemi Covid-19. Banyak sekali UMKM mengalami penurunan penjualan dan tidak bisa berkembang bahkan hampir mengalami kebangkrutan. Kondisi tersebut membuat para pelaku UMKM harus berfikir untuk bisa tetap bertahan demi kelangsungan usahanya. Di masa pandemi Covid-19 banyak konsumen mengurangi interaksi di luar rumah dengan menjaga jarak guna memutus rantai penyebaran virus Covid-19. Pelaku UMKM dapat melanjutkan usahanya dengan tetap memenuhi kebutuhan konsumen di masa pandemi dengan mengalihkan pembelian secara online. Beralihnya pembelian secara offline menjadi online (digital), akan mempermudah pelaku UMKM dalam memperluas akses pemasaran. Peran teknologi digital memiliki pengaruh yang signifikan terhadap UMKM. Paradigma teknologi yang muncul memanfaatkan potensi UMKM yang lebih kuat serta berkelanjutan. Social media dan E-commerce dapat menjadi wadah penjualan pelaku UMKM. Diketahui bahwa pelaku UMKM belum mengikuti perkembangan digital secara maksimal, terutama karena kurangnya pengetahuan tentang digital marketing. Tujuan program pemberdayaan masyarakat pada UMKM di Kelurahan Plamongansari yaitu untuk memberikan pendampingan pelatihan digital marketing sebagai upaya pengembangan dan perluasan jaringan pemasaran berbasis teknologi (digital). Setelah melakukan pengabdian ini, diharapkan pelaku UMKM di Kelurahan Plamongansari akan terus bersinergi demi keberlangsungan UMKM dan pengembangan ekonomi masyarakat.&lt;/p&gt;","author":[{"dropping-particle":"","family":"Arumsari","given":"Nurul Rizka","non-dropping-particle":"","parse-names":false,"suffix":""},{"dropping-particle":"","family":"Lailyah","given":"Nurzahroh","non-dropping-particle":"","parse-names":false,"suffix":""},{"dropping-particle":"","family":"Rahayu","given":"Tina","non-dropping-particle":"","parse-names":false,"suffix":""}],"container-title":"SEMAR (Jurnal Ilmu Pengetahuan, Teknologi, dan Seni bagi Masyarakat)","id":"ITEM-1","issue":"1","issued":{"date-parts":[["2022"]]},"page":"92","title":"Peran Digital Marketing dalam Upaya Pengembangan UMKM Berbasis Teknologi di Kelurahan Plamongansari Semarang","type":"article-journal","volume":"11"},"uris":["http://www.mendeley.com/documents/?uuid=c4e537ed-55ac-489d-9b80-82858cb0c180"]}],"mendeley":{"formattedCitation":"(Arumsari, Lailyah, and Rahayu 2022)","plainTextFormattedCitation":"(Arumsari, Lailyah, and Rahayu 2022)","previouslyFormattedCitation":"(Arumsari, Lailyah, and Rahayu 2022)"},"properties":{"noteIndex":0},"schema":"https://github.com/citation-style-language/schema/raw/master/csl-citation.json"}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(Arumsari, Lailyah, and Rahayu 2022)</w:t>
      </w:r>
      <w:r w:rsidRPr="009020B5">
        <w:rPr>
          <w:rFonts w:ascii="Adobe Garamond Pro" w:hAnsi="Adobe Garamond Pro" w:cs="Times New Roman"/>
        </w:rPr>
        <w:fldChar w:fldCharType="end"/>
      </w:r>
      <w:r w:rsidRPr="009020B5">
        <w:rPr>
          <w:rFonts w:ascii="Adobe Garamond Pro" w:hAnsi="Adobe Garamond Pro" w:cs="Times New Roman"/>
        </w:rPr>
        <w:t xml:space="preserve">. Business actors will more easily get information about the state of the market and can communicate easily with relationships to increase networks anywhere with the ease of internet technology. In the context of a snack business such as amplang, marketing strategies need to think about aspects of product innovation, quality differentiation, and the use of conventional and digital channels in order to be able to compete in the local or international market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{"citationItems":[{"id":"ITEM-1","itemData":{"abstract":"This study examines the marketing strategies of PT Indofood Sukses Makmur Tbk in Indonesia's competitive food and beverage industry. Employing a qualitative approach and literature review, the research analyzes Indofood's marketing mix, focusing on product innovation, pricing, distribution, and promotion. Findings reveal Indofood's effective use of both traditional and digital marketing channels, product tailoring for different market segments, and adaptive strategies for domestic and international markets. The company's success is attributed to product diversification, strong brand positioning, and global expansion through partnerships and localization efforts. Indofood's increasing focus on digital marketing and technology adoption enhances customer engagement and operational efficiency. The study provides insights into how a major food corporation navigates market challenges and opportunities in the evolving consumer goods landscape, offering valuable lessons for industry practitioners and researchers.","author":[{"dropping-particle":"","family":"Safitri","given":"Vira","non-dropping-particle":"","parse-names":false,"suffix":""},{"dropping-particle":"","family":"Kamila","given":"Nurul","non-dropping-particle":"","parse-names":false,"suffix":""},{"dropping-particle":"","family":"Nopitasari","given":"Tiara","non-dropping-particle":"","parse-names":false,"suffix":""},{"dropping-particle":"","family":"Dewi","given":"Asfya Nafisa","non-dropping-particle":"","parse-names":false,"suffix":""},{"dropping-particle":"","family":"Ajijah","given":"Siti","non-dropping-particle":"","parse-names":false,"suffix":""}],"container-title":"Senmabis - Seminar Nasional Manajemen dan Bisnis","id":"ITEM-1","issued":{"date-parts":[["2024"]]},"page":"1-7","title":"Literature Riview : Strategi Pemasaran PT . Indofood Sukses Makmur Tbk","type":"article-journal","volume":"4789"},"uris":["http://www.mendeley.com/documents/?uuid=8e526228-a109-476f-a2b6-4b1ede390bc0","http://www.mendeley.com/documents/?uuid=26794ea2-7595-4e2c-a447-c731c24aa3f8"]},{"id":"ITEM-2","itemData":{"ISBN":"2962-7966","author":[{"dropping-particle":"","family":"Sanjaya","given":"Tendy Dwi","non-dropping-particle":"","parse-names":false,"suffix":""},{"dropping-particle":"","family":"Abdusysyahid","given":"Said","non-dropping-particle":"","parse-names":false,"suffix":""},{"dropping-particle":"","family":"Ningsih","given":"Etik Sulistiowati","non-dropping-particle":"","parse-names":false,"suffix":""}],"container-title":"Prosiding Seminar Nasional Sosial, Humaniora, dan Teknologi","id":"ITEM-2","issue":"1","issued":{"date-parts":[["2025"]]},"page":"1085-1090","title":"Analisis Strategi Pemasaran Produk Amplang Ikan Tenggiri Di PT. Bontings Manggar Baru Kecamatan Balikpapan Timur Kota Balikpapan","type":"article-journal","volume":"3"},"uris":["http://www.mendeley.com/documents/?uuid=2c638eb4-b283-42eb-89bf-e2e73b78927a","http://www.mendeley.com/documents/?uuid=9a2248ff-1a0a-4544-ab44-b3c06cb71bfc"]}],"mendeley":{"formattedCitation":"(Safitri et al. 2024; Sanjaya, Abdusysyahid, and Ningsih 2025)","plainTextFormattedCitation":"(Safitri et al. 2024; Sanjaya, Abdusysyahid, and Ningsih 2025)","previouslyFormattedCitation":"(Safitri et al. 2024; Sanjaya, Abdusysyahid, and Ningsih 2025)"},"properties":{"noteIndex":0},"schema":"https://github.com/citation-style-language/schema/raw/master/csl-citation.json"}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(Safitri et al. 2024; Sanjaya, Abdusysyahid, and Ningsih 2025)</w:t>
      </w:r>
      <w:r w:rsidRPr="009020B5">
        <w:rPr>
          <w:rFonts w:ascii="Adobe Garamond Pro" w:hAnsi="Adobe Garamond Pro" w:cs="Times New Roman"/>
        </w:rPr>
        <w:fldChar w:fldCharType="end"/>
      </w:r>
      <w:r w:rsidRPr="009020B5">
        <w:rPr>
          <w:rFonts w:ascii="Adobe Garamond Pro" w:hAnsi="Adobe Garamond Pro" w:cs="Times New Roman"/>
        </w:rPr>
        <w:t>. This approach includes market segmentation, the positioning of amplang food products as typical regional souvenirs, and an emphasis on halal certification and guaranteed quality.</w:t>
      </w:r>
    </w:p>
    <w:p w14:paraId="0F0613B5" w14:textId="669BE167" w:rsidR="009020B5" w:rsidRPr="009020B5" w:rsidRDefault="009020B5" w:rsidP="002544F2">
      <w:pPr>
        <w:spacing w:line="360" w:lineRule="auto"/>
        <w:ind w:firstLine="720"/>
        <w:jc w:val="both"/>
        <w:rPr>
          <w:rFonts w:ascii="Adobe Garamond Pro" w:hAnsi="Adobe Garamond Pro" w:cs="Times New Roman"/>
        </w:rPr>
      </w:pPr>
      <w:r w:rsidRPr="009020B5">
        <w:rPr>
          <w:rFonts w:ascii="Adobe Garamond Pro" w:hAnsi="Adobe Garamond Pro" w:cs="Times New Roman"/>
        </w:rPr>
        <w:t xml:space="preserve">Previous research has examined the aspects of market opportunities and business feasibility of fish processing businesses that become snacks, namely amplang as a typical food product that has great potential in the local or international market. Research conducted by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{"citationItems":[{"id":"ITEM-1","itemData":{"abstract":"Penelitian ini berdasarkan pada Teori Ekonomi Mikro tentang kuantitas produksi yang \nmemberikan keuntungan maksimum (profit maximum).\nTujuan penelitian untuk mengetahui dan menganalisa tercapai atau tidaknya kuantitas \nproduksi (Q) yang memberikan keuntungan maksimum, serta besarnya kuantitas produksi (Q) yang \nmemberikan keuntungan maksimum pada UD. Taufik Jaya Makmur Samarinda. Data bersifat \nkuantitatif, bersumber langsung dari objek penelitian (data primer), yang dikumpulkan \nmenggunakan instrumen kuisioner, wawancara dan dokumentasi.\nAlat analisis yang digunakan adalah Analisis Profit Maksimum dengan metode Total \nApproach, yaitu membandingkan penerimaan total dengan biaya total (TR - TC), dan metode \nMarginal Approach, yaitu kondisi di mana penerimaan marjinal sama dengan biaya marjinal (MR \n= MC).\nHasil penelitian menunjukkan bahwa UD. Taufik Jaya Makmur Samarinda berproduksi \nrata-rata 6.400 kg, artinya belum mencapai kuantitas produksi yang memberikan keuntungan \nmaksimum. Keuntungan maksimum akan tercapai pada Q = 14.183 kg","author":[{"dropping-particle":"","family":"Setiawati","given":"Erni","non-dropping-particle":"","parse-names":false,"suffix":""}],"container-title":"Jurnal Ilmu Ekonomi Mulawarman (JIEM)","id":"ITEM-1","issue":"4","issued":{"date-parts":[["2018"]]},"page":"1-14","title":"Analisis Profit Maksimum Usaha Amplang UD. Taufik Jaya Makmur Samarinda","type":"article-journal","volume":"Vol. 3"},"uris":["http://www.mendeley.com/documents/?uuid=0c8ef7d2-ff48-4f1e-a1af-7c03b6bc7138","http://www.mendeley.com/documents/?uuid=49add075-b7f9-4f00-a799-a62853ff5ce6"]}],"mendeley":{"formattedCitation":"(Setiawati 2018)","plainTextFormattedCitation":"(Setiawati 2018)","previouslyFormattedCitation":"(Setiawati 2018)"},"properties":{"noteIndex":0},"schema":"https://github.com/citation-style-language/schema/raw/master/csl-citation.json"}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(Setiawati 2018)</w:t>
      </w:r>
      <w:r w:rsidRPr="009020B5">
        <w:rPr>
          <w:rFonts w:ascii="Adobe Garamond Pro" w:hAnsi="Adobe Garamond Pro" w:cs="Times New Roman"/>
        </w:rPr>
        <w:fldChar w:fldCharType="end"/>
      </w:r>
      <w:r w:rsidRPr="009020B5">
        <w:rPr>
          <w:rFonts w:ascii="Adobe Garamond Pro" w:hAnsi="Adobe Garamond Pro" w:cs="Times New Roman"/>
        </w:rPr>
        <w:t xml:space="preserve"> stating that the market demand for amplang products is quite stable and there is an opportunity to develop significant production capacity. </w:t>
      </w:r>
      <w:r w:rsidRPr="009020B5">
        <w:rPr>
          <w:rFonts w:ascii="Adobe Garamond Pro" w:hAnsi="Adobe Garamond Pro" w:cs="Times New Roman"/>
        </w:rPr>
        <w:lastRenderedPageBreak/>
        <w:t xml:space="preserve">A business feasibility study based on various financial indicators such as NPV (Net Present Value), IRR (Internal Rate of Return), and Payback Period which shows that the amplang business is feasible to continue and provides great profits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{"citationItems":[{"id":"ITEM-1","itemData":{"author":[{"dropping-particle":"","family":"Putri","given":"Chairunnisa Rahmawati","non-dropping-particle":"","parse-names":false,"suffix":""},{"dropping-particle":"","family":"Arimuljarto","given":"Nugroho","non-dropping-particle":"","parse-names":false,"suffix":""},{"dropping-particle":"","family":"Alipudin","given":"Asep","non-dropping-particle":"","parse-names":false,"suffix":""},{"dropping-particle":"","family":"Gusniawan","given":"Rino Indira","non-dropping-particle":"","parse-names":false,"suffix":""}],"container-title":"Jurnal Manajemen Pratama","id":"ITEM-1","issue":"1","issued":{"date-parts":[["2025"]]},"title":"Studi Kelayakan Usaha Kuliner Studi Kasus Pada Usaha Room Coffee and Eatery Di Kabupaten Bogor","type":"article-journal","volume":"2"},"uris":["http://www.mendeley.com/documents/?uuid=155d3319-3c0b-4b2d-a897-bb28a82766ba","http://www.mendeley.com/documents/?uuid=fcc4feac-c3a4-4bb9-866a-eb1370e01ba2"]}],"mendeley":{"formattedCitation":"(Putri et al. 2025)","manualFormatting":"(Putri et al., 2025)","plainTextFormattedCitation":"(Putri et al. 2025)","previouslyFormattedCitation":"(Putri et al. 2025)"},"properties":{"noteIndex":0},"schema":"https://github.com/citation-style-language/schema/raw/master/csl-citation.json"}</w:instrText>
      </w:r>
      <w:r w:rsidRPr="009020B5">
        <w:rPr>
          <w:rFonts w:ascii="Adobe Garamond Pro" w:hAnsi="Adobe Garamond Pro" w:cs="Times New Roman"/>
        </w:rPr>
        <w:fldChar w:fldCharType="separate"/>
      </w:r>
      <w:r w:rsidRPr="009020B5">
        <w:rPr>
          <w:rFonts w:ascii="Adobe Garamond Pro" w:hAnsi="Adobe Garamond Pro" w:cs="Times New Roman"/>
          <w:noProof/>
        </w:rPr>
        <w:t>(Putri et al., 2025)</w:t>
      </w:r>
      <w:r w:rsidRPr="009020B5">
        <w:rPr>
          <w:rFonts w:ascii="Adobe Garamond Pro" w:hAnsi="Adobe Garamond Pro" w:cs="Times New Roman"/>
        </w:rPr>
        <w:fldChar w:fldCharType="end"/>
      </w:r>
      <w:r w:rsidRPr="009020B5">
        <w:rPr>
          <w:rFonts w:ascii="Adobe Garamond Pro" w:hAnsi="Adobe Garamond Pro" w:cs="Times New Roman"/>
        </w:rPr>
        <w:t xml:space="preserve">. By improving performance in financial indicators, it will strengthen the overall financial health of the business and can increase business competitiveness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{"citationItems":[{"id":"ITEM-1","itemData":{"author":[{"dropping-particle":"","family":"Asari","given":"Fahreza Naafi","non-dropping-particle":"","parse-names":false,"suffix":""},{"dropping-particle":"","family":"Solekah","given":"Nihayatu Aslamatis","non-dropping-particle":"","parse-names":false,"suffix":""}],"id":"ITEM-1","issued":{"date-parts":[["2025"]]},"page":"2131-2135","title":"Analisis studi kelayakan bisnis pada UMKM : Studi Pada Rezzen Bakery","type":"article-journal","volume":"3"},"uris":["http://www.mendeley.com/documents/?uuid=1b2119c4-f82e-4bbc-b3a7-f12d6dafb35c","http://www.mendeley.com/documents/?uuid=239a3e50-d5d7-4129-9dae-994ac5dc49fe"]}],"mendeley":{"formattedCitation":"(Asari and Solekah 2025)","plainTextFormattedCitation":"(Asari and Solekah 2025)","previouslyFormattedCitation":"(Asari and Solekah 2025)"},"properties":{"noteIndex":0},"schema":"https://github.com/citation-style-language/schema/raw/master/csl-citation.json"}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(Asari and Solekah 2025)</w:t>
      </w:r>
      <w:r w:rsidRPr="009020B5">
        <w:rPr>
          <w:rFonts w:ascii="Adobe Garamond Pro" w:hAnsi="Adobe Garamond Pro" w:cs="Times New Roman"/>
        </w:rPr>
        <w:fldChar w:fldCharType="end"/>
      </w:r>
      <w:r w:rsidRPr="009020B5">
        <w:rPr>
          <w:rFonts w:ascii="Adobe Garamond Pro" w:hAnsi="Adobe Garamond Pro" w:cs="Times New Roman"/>
        </w:rPr>
        <w:t>.</w:t>
      </w:r>
    </w:p>
    <w:p w14:paraId="772ED234" w14:textId="6056FFE9" w:rsidR="009020B5" w:rsidRPr="009020B5" w:rsidRDefault="009020B5" w:rsidP="002544F2">
      <w:pPr>
        <w:spacing w:line="360" w:lineRule="auto"/>
        <w:ind w:firstLine="720"/>
        <w:jc w:val="both"/>
        <w:rPr>
          <w:rFonts w:ascii="Adobe Garamond Pro" w:hAnsi="Adobe Garamond Pro" w:cs="Times New Roman"/>
        </w:rPr>
      </w:pPr>
      <w:r w:rsidRPr="009020B5">
        <w:rPr>
          <w:rFonts w:ascii="Adobe Garamond Pro" w:hAnsi="Adobe Garamond Pro" w:cs="Times New Roman"/>
        </w:rPr>
        <w:t xml:space="preserve">Other research by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{"citationItems":[{"id":"ITEM-1","itemData":{"DOI":"10.20961/semar.v11i1.57610","ISSN":"2302-3937","abstract":"&lt;p&gt;Perkembangan Usaha Mikro Kecil dan Menengah (UMKM) menjadi stagnan di masa pandemi Covid-19. Banyak sekali UMKM mengalami penurunan penjualan dan tidak bisa berkembang bahkan hampir mengalami kebangkrutan. Kondisi tersebut membuat para pelaku UMKM harus berfikir untuk bisa tetap bertahan demi kelangsungan usahanya. Di masa pandemi Covid-19 banyak konsumen mengurangi interaksi di luar rumah dengan menjaga jarak guna memutus rantai penyebaran virus Covid-19. Pelaku UMKM dapat melanjutkan usahanya dengan tetap memenuhi kebutuhan konsumen di masa pandemi dengan mengalihkan pembelian secara online. Beralihnya pembelian secara offline menjadi online (digital), akan mempermudah pelaku UMKM dalam memperluas akses pemasaran. Peran teknologi digital memiliki pengaruh yang signifikan terhadap UMKM. Paradigma teknologi yang muncul memanfaatkan potensi UMKM yang lebih kuat serta berkelanjutan. Social media dan E-commerce dapat menjadi wadah penjualan pelaku UMKM. Diketahui bahwa pelaku UMKM belum mengikuti perkembangan digital secara maksimal, terutama karena kurangnya pengetahuan tentang digital marketing. Tujuan program pemberdayaan masyarakat pada UMKM di Kelurahan Plamongansari yaitu untuk memberikan pendampingan pelatihan digital marketing sebagai upaya pengembangan dan perluasan jaringan pemasaran berbasis teknologi (digital). Setelah melakukan pengabdian ini, diharapkan pelaku UMKM di Kelurahan Plamongansari akan terus bersinergi demi keberlangsungan UMKM dan pengembangan ekonomi masyarakat.&lt;/p&gt;","author":[{"dropping-particle":"","family":"Arumsari","given":"Nurul Rizka","non-dropping-particle":"","parse-names":false,"suffix":""},{"dropping-particle":"","family":"Lailyah","given":"Nurzahroh","non-dropping-particle":"","parse-names":false,"suffix":""},{"dropping-particle":"","family":"Rahayu","given":"Tina","non-dropping-particle":"","parse-names":false,"suffix":""}],"container-title":"SEMAR (Jurnal Ilmu Pengetahuan, Teknologi, dan Seni bagi Masyarakat)","id":"ITEM-1","issue":"1","issued":{"date-parts":[["2022"]]},"page":"92","title":"Peran Digital Marketing dalam Upaya Pengembangan UMKM Berbasis Teknologi di Kelurahan Plamongansari Semarang","type":"article-journal","volume":"11"},"uris":["http://www.mendeley.com/documents/?uuid=c4e537ed-55ac-489d-9b80-82858cb0c180"]}],"mendeley":{"formattedCitation":"(Arumsari et al. 2022)","plainTextFormattedCitation":"(Arumsari et al. 2022)","previouslyFormattedCitation":"(Arumsari et al. 2022)"},"properties":{"noteIndex":0},"schema":"https://github.com/citation-style-language/schema/raw/master/csl-citation.json"}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(Arumsari et al. 2022)</w:t>
      </w:r>
      <w:r w:rsidRPr="009020B5">
        <w:rPr>
          <w:rFonts w:ascii="Adobe Garamond Pro" w:hAnsi="Adobe Garamond Pro" w:cs="Times New Roman"/>
        </w:rPr>
        <w:fldChar w:fldCharType="end"/>
      </w:r>
      <w:r w:rsidRPr="009020B5">
        <w:rPr>
          <w:rFonts w:ascii="Adobe Garamond Pro" w:hAnsi="Adobe Garamond Pro" w:cs="Times New Roman"/>
        </w:rPr>
        <w:t xml:space="preserve"> also highlighted the importance of using digital marketing aspects and communication strategies through social media in order to increase customer loyalty and market penetration for MSMEs. The survey results show that amplang consumers prefer products with consistent taste quality and have valid halal certifications, and make repeat purchases if there are attractive promotions and satisfactory service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{"citationItems":[{"id":"ITEM-1","itemData":{"abstract":"Penelitian ini bertujuan untuk menganalisis loyalitas pengunjung berdasarkan kualitas layanan dan kepuasan pengunjung pada Perpustakaan Kota X. Pendekatan penelitian ini adalah kualitatif deskriptif. Teknik pengumpulan data menggunakan observasi, wawancara dan dokumentasi pada pengunjung dan pegawai perpustakaan. Yang menarik dari hasil temuannya adalah loyalitas pengunjung di Perpustakaan X cukup baik, namun kualitas layanan dan kepuasan pengunjung ada yang belum sesuai dengan apa yang diharapkan pengunjung. Pengunjung masih loyal karena masih menaruh harapan adanya perbaikan fasilitas. Dinas Perpustakaan dan Kearsipan Kota X perlu menambah koleksi buku secara kuantitas dan jenis, serta dapat mengadaptasi strategi pemberian souvenir sesuai jumlah kunjungan pengunjung untuk memicu minat baca dan loyalitas kepada perpustakaan","author":[{"dropping-particle":"","family":"Kusumaningrum","given":"Dewi Ayu","non-dropping-particle":"","parse-names":false,"suffix":""},{"dropping-particle":"","family":"Hurdawaty","given":"Ramon","non-dropping-particle":"","parse-names":false,"suffix":""},{"dropping-particle":"","family":"Simanjuntak","given":"Vera Clara","non-dropping-particle":"","parse-names":false,"suffix":""}],"container-title":"Jurnal Nusantara Aplikasi Manajemen Bisnis","id":"ITEM-1","issue":"2","issued":{"date-parts":[["2020"]]},"page":"256-264","title":"Strategi Pemasaran Usaha Kuliner di Kepulauan Seribu Utara, DKI Jakarta","type":"article-journal","volume":"5"},"uris":["http://www.mendeley.com/documents/?uuid=45e97c9a-0967-445f-9343-f3dacbff21fb","http://www.mendeley.com/documents/?uuid=c139617d-e37f-4d75-9094-44b54e71b664"]}],"mendeley":{"formattedCitation":"(Kusumaningrum, Hurdawaty, and Simanjuntak 2020)","manualFormatting":"Kusumaningrum et al., 2020)","plainTextFormattedCitation":"(Kusumaningrum, Hurdawaty, and Simanjuntak 2020)","previouslyFormattedCitation":"(Kusumaningrum, Hurdawaty, and Simanjuntak 2020)"},"properties":{"noteIndex":0},"schema":"https://github.com/citation-style-language/schema/raw/master/csl-citation.json"}</w:instrText>
      </w:r>
      <w:r w:rsidRPr="009020B5">
        <w:rPr>
          <w:rFonts w:ascii="Adobe Garamond Pro" w:hAnsi="Adobe Garamond Pro" w:cs="Times New Roman"/>
        </w:rPr>
        <w:fldChar w:fldCharType="separate"/>
      </w:r>
      <w:r w:rsidRPr="009020B5">
        <w:rPr>
          <w:rFonts w:ascii="Adobe Garamond Pro" w:hAnsi="Adobe Garamond Pro" w:cs="Times New Roman"/>
          <w:noProof/>
        </w:rPr>
        <w:t>Kusumaningrum et al., 2020)</w:t>
      </w:r>
      <w:r w:rsidRPr="009020B5">
        <w:rPr>
          <w:rFonts w:ascii="Adobe Garamond Pro" w:hAnsi="Adobe Garamond Pro" w:cs="Times New Roman"/>
        </w:rPr>
        <w:fldChar w:fldCharType="end"/>
      </w:r>
      <w:r w:rsidRPr="009020B5">
        <w:rPr>
          <w:rFonts w:ascii="Adobe Garamond Pro" w:hAnsi="Adobe Garamond Pro" w:cs="Times New Roman"/>
        </w:rPr>
        <w:t xml:space="preserve">. Compared to research by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{"citationItems":[{"id":"ITEM-1","itemData":{"author":[{"dropping-particle":"","family":"Putri","given":"Chairunnisa Rahmawati","non-dropping-particle":"","parse-names":false,"suffix":""},{"dropping-particle":"","family":"Arimuljarto","given":"Nugroho","non-dropping-particle":"","parse-names":false,"suffix":""},{"dropping-particle":"","family":"Alipudin","given":"Asep","non-dropping-particle":"","parse-names":false,"suffix":""},{"dropping-particle":"","family":"Gusniawan","given":"Rino Indira","non-dropping-particle":"","parse-names":false,"suffix":""}],"container-title":"Jurnal Manajemen Pratama","id":"ITEM-1","issue":"1","issued":{"date-parts":[["2025"]]},"title":"Studi Kelayakan Usaha Kuliner Studi Kasus Pada Usaha Room Coffee and Eatery Di Kabupaten Bogor","type":"article-journal","volume":"2"},"uris":["http://www.mendeley.com/documents/?uuid=fcc4feac-c3a4-4bb9-866a-eb1370e01ba2","http://www.mendeley.com/documents/?uuid=155d3319-3c0b-4b2d-a897-bb28a82766ba"]}],"mendeley":{"formattedCitation":"(Putri et al. 2025)","manualFormatting":"Putri et al. (2025)","plainTextFormattedCitation":"(Putri et al. 2025)","previouslyFormattedCitation":"(Putri et al. 2025)"},"properties":{"noteIndex":0},"schema":"https://github.com/citation-style-language/schema/raw/master/csl-citation.json"}</w:instrText>
      </w:r>
      <w:r w:rsidRPr="009020B5">
        <w:rPr>
          <w:rFonts w:ascii="Adobe Garamond Pro" w:hAnsi="Adobe Garamond Pro" w:cs="Times New Roman"/>
        </w:rPr>
        <w:fldChar w:fldCharType="separate"/>
      </w:r>
      <w:r w:rsidRPr="009020B5">
        <w:rPr>
          <w:rFonts w:ascii="Adobe Garamond Pro" w:hAnsi="Adobe Garamond Pro" w:cs="Times New Roman"/>
          <w:noProof/>
        </w:rPr>
        <w:t>Putri et al. (2025)</w:t>
      </w:r>
      <w:r w:rsidRPr="009020B5">
        <w:rPr>
          <w:rFonts w:ascii="Adobe Garamond Pro" w:hAnsi="Adobe Garamond Pro" w:cs="Times New Roman"/>
        </w:rPr>
        <w:fldChar w:fldCharType="end"/>
      </w:r>
      <w:r w:rsidRPr="009020B5">
        <w:rPr>
          <w:rFonts w:ascii="Adobe Garamond Pro" w:hAnsi="Adobe Garamond Pro" w:cs="Times New Roman"/>
        </w:rPr>
        <w:t xml:space="preserve"> which focuses on financial feasibility methods that can be concluded that the business is feasible to run because it meets the investment feasibility criteria of the research method reviewed from the financial aspect. In our research, we emphasize the integration of digital marketing strategies combined with clear market segmentation and promotional approaches as a typical snack that is hygienic and halal. Meanwhile, our research combines market, financial, technical &amp; operational, human resources, and legality aspects so as to provide a more comprehensive picture in the study of the business feasibility of the amplang business.</w:t>
      </w:r>
    </w:p>
    <w:p w14:paraId="5A4311B8" w14:textId="577E6F5F" w:rsidR="009020B5" w:rsidRPr="009020B5" w:rsidRDefault="009020B5" w:rsidP="002544F2">
      <w:pPr>
        <w:spacing w:line="360" w:lineRule="auto"/>
        <w:ind w:firstLine="720"/>
        <w:jc w:val="both"/>
        <w:rPr>
          <w:rFonts w:ascii="Adobe Garamond Pro" w:hAnsi="Adobe Garamond Pro" w:cs="Times New Roman"/>
        </w:rPr>
      </w:pPr>
      <w:r w:rsidRPr="009020B5">
        <w:rPr>
          <w:rFonts w:ascii="Adobe Garamond Pro" w:hAnsi="Adobe Garamond Pro" w:cs="Times New Roman"/>
        </w:rPr>
        <w:t xml:space="preserve">In addition, our research highlights the importance of the role of halal certification that can increase selling value so that it becomes a strategic added value in embracing the local consumer market which is majority Muslim. Therefore, amplang businesses that have received halal certification have higher competitiveness in the local market or in the national and international markets </w:t>
      </w:r>
      <w:r w:rsidRPr="009020B5">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{"citationItems":[{"id":"ITEM-1","itemData":{"DOI":"10.58192/wawasan.v3i1.2863","ISSN":"2963-5284","abstract":"Usaha Mikro, Kecil, dan Menengah seperti bisnis keripik singkong, memiliki peran signifikan dalam perekonomian Indonesia. Namun, banyak Usaha Mikro, Kecil, dan Menengah menghadapi tantangan dalam mengidentifikasi faktor keberhasilan potensial dan mengembangkan strategi untuk tetap kompetitif di pasar. Penelitian ini bertujuan untuk menganalisis usaha keripik singkong \"Raihanah\" dari aspek pemasaran, teknis, dan operasional. Metode penelitian yang digunakan adalah deskriptif kualitatif dengan pendekatan studi kasus melalui wawancara mendalam. Hasil penelitian menunjukkan bahwa bisnis ini memiliki potensi keberlanjutan yang tinggi, didukung oleh pengelolaan produk yang efektif, diversifikasi produk, dan efisiensi operasional. Namun, tantangan seperti fluktuasi harga bahan baku dan ketergantungan pada musim panen menjadi hambatan yang perlu diatasi. Strategi mitigasi berupa pengelolaan stok bahan baku dan pengembangan pemasaran digital telah diidentifikasi sebagai solusi utama. Dengan penerapan manajemen risiko dan optimalisasi strategi pemasaran, bisnis ini menunjukkan prospek cerah untuk tumbuh dan berkontribusi pada pengembangan sektor Usaha Mikro, Kecil, dan Menengah.    ","author":[{"dropping-particle":"","family":"Rahmidilla","given":"","non-dropping-particle":"","parse-names":false,"suffix":""},{"dropping-particle":"","family":"Saida Ramlah","given":"","non-dropping-particle":"","parse-names":false,"suffix":""},{"dropping-particle":"","family":"Siti Maisyarah","given":"","non-dropping-particle":"","parse-names":false,"suffix":""},{"dropping-particle":"","family":"Faizah","given":"","non-dropping-particle":"","parse-names":false,"suffix":""},{"dropping-particle":"","family":"Muhammad Firliadi Noor Salim","given":"","non-dropping-particle":"","parse-names":false,"suffix":""}],"container-title":"Wawasan : Jurnal Ilmu Manajemen, Ekonomi dan Kewirausahaan","id":"ITEM-1","issue":"1","issued":{"date-parts":[["2024"]]},"page":"166-175","title":"Analisis Usaha pada Keripik Singkong Raihanah di Kabupaten Hulu Sungai Selatan, Kalimantan Selatan Ditinjau dari Aspek Pemasaran, Teknis dan Operasional","type":"article-journal","volume":"3"},"uris":["http://www.mendeley.com/documents/?uuid=1e08ee0e-e3bc-4e76-915c-a7e8bf6763f9","http://www.mendeley.com/documents/?uuid=b67af6fe-1da7-475f-b267-98400b14e441"]}],"mendeley":{"formattedCitation":"(Rahmidilla et al. 2024)","plainTextFormattedCitation":"(Rahmidilla et al. 2024)","previouslyFormattedCitation":"(Rahmidilla et al. 2024)"},"properties":{"noteIndex":0},"schema":"https://github.com/citation-style-language/schema/raw/master/csl-citation.json"}</w:instrText>
      </w:r>
      <w:r w:rsidRPr="009020B5">
        <w:rPr>
          <w:rFonts w:ascii="Adobe Garamond Pro" w:hAnsi="Adobe Garamond Pro" w:cs="Times New Roman"/>
        </w:rPr>
        <w:fldChar w:fldCharType="separate"/>
      </w:r>
      <w:r w:rsidR="00C40B61" w:rsidRPr="00C40B61">
        <w:rPr>
          <w:rFonts w:ascii="Adobe Garamond Pro" w:hAnsi="Adobe Garamond Pro" w:cs="Times New Roman"/>
          <w:noProof/>
        </w:rPr>
        <w:t>(Rahmidilla et al. 2024)</w:t>
      </w:r>
      <w:r w:rsidRPr="009020B5">
        <w:rPr>
          <w:rFonts w:ascii="Adobe Garamond Pro" w:hAnsi="Adobe Garamond Pro" w:cs="Times New Roman"/>
        </w:rPr>
        <w:fldChar w:fldCharType="end"/>
      </w:r>
      <w:r w:rsidRPr="009020B5">
        <w:rPr>
          <w:rFonts w:ascii="Adobe Garamond Pro" w:hAnsi="Adobe Garamond Pro" w:cs="Times New Roman"/>
        </w:rPr>
        <w:t>. In addition, the use of conventional media channels is more dominant and has not maximized the optimal use of digital marketing. It can be concluded that strengthening halal certification as well as improving digital marketing strategies is needed to expand market penetration.</w:t>
      </w:r>
    </w:p>
    <w:p w14:paraId="6CB522EF" w14:textId="1E931DF0" w:rsidR="009020B5" w:rsidRPr="00EA4EC7" w:rsidRDefault="002544F2" w:rsidP="002544F2">
      <w:pPr>
        <w:suppressAutoHyphens/>
        <w:spacing w:line="360" w:lineRule="auto"/>
        <w:jc w:val="both"/>
        <w:rPr>
          <w:rFonts w:ascii="Adobe Garamond Pro" w:hAnsi="Adobe Garamond Pro" w:cs="Times New Roman"/>
        </w:rPr>
      </w:pPr>
      <w:r>
        <w:rPr>
          <w:rFonts w:ascii="Adobe Garamond Pro" w:hAnsi="Adobe Garamond Pro" w:cs="Times New Roman"/>
        </w:rPr>
        <w:tab/>
      </w:r>
      <w:r w:rsidR="009020B5" w:rsidRPr="009020B5">
        <w:rPr>
          <w:rFonts w:ascii="Adobe Garamond Pro" w:hAnsi="Adobe Garamond Pro" w:cs="Times New Roman"/>
        </w:rPr>
        <w:t>The research we conducted provides an involvement in the business feasibility study approach of amplang businesses that not only assesses financial and operational potential, but also by utilizing the use of digital marketing strategies and the management of halal certification legality as determinants of business success. Therefore, the amplang business has a strong foundation in facing the challenges of the modern market as well as opportunities to expand the market to the national and international levels. Another contribution is the preparation of a marketing strategy that focuses on segmenting the young to medium market that cares about the quality of the amplang and its safety, which is the main key to gaining long-term customer loyalty.</w:t>
      </w:r>
    </w:p>
    <w:p w14:paraId="192945BA" w14:textId="074DD872" w:rsidR="00A67F58" w:rsidRPr="00DC3EFC" w:rsidRDefault="007672DE" w:rsidP="00A73294">
      <w:pPr>
        <w:pStyle w:val="ListParagraph"/>
        <w:numPr>
          <w:ilvl w:val="0"/>
          <w:numId w:val="2"/>
        </w:numPr>
        <w:tabs>
          <w:tab w:val="left" w:pos="426"/>
        </w:tabs>
        <w:suppressAutoHyphens/>
        <w:spacing w:line="360" w:lineRule="auto"/>
        <w:ind w:left="709" w:hanging="709"/>
        <w:contextualSpacing w:val="0"/>
        <w:jc w:val="both"/>
        <w:rPr>
          <w:rFonts w:ascii="Arial" w:hAnsi="Arial" w:cs="Arial"/>
          <w:b/>
          <w:color w:val="2E74B5" w:themeColor="accent1" w:themeShade="BF"/>
        </w:rPr>
      </w:pPr>
      <w:r w:rsidRPr="00DC3EFC">
        <w:rPr>
          <w:rFonts w:ascii="Arial" w:hAnsi="Arial" w:cs="Arial"/>
          <w:b/>
          <w:color w:val="2E74B5" w:themeColor="accent1" w:themeShade="BF"/>
        </w:rPr>
        <w:t xml:space="preserve">METHOD, DATA, AND ANALYSIS </w:t>
      </w:r>
    </w:p>
    <w:p w14:paraId="332850D8" w14:textId="77BB71D7" w:rsidR="00CB3333" w:rsidRPr="00CB3333" w:rsidRDefault="00CB3333" w:rsidP="00A73294">
      <w:pPr>
        <w:spacing w:line="360" w:lineRule="auto"/>
        <w:jc w:val="both"/>
        <w:rPr>
          <w:rFonts w:ascii="Adobe Garamond Pro" w:hAnsi="Adobe Garamond Pro" w:cs="Times New Roman"/>
        </w:rPr>
      </w:pPr>
      <w:bookmarkStart w:id="0" w:name="_Hlk212626197"/>
      <w:r w:rsidRPr="00CB3333">
        <w:rPr>
          <w:rFonts w:ascii="Adobe Garamond Pro" w:hAnsi="Adobe Garamond Pro" w:cs="Times New Roman"/>
        </w:rPr>
        <w:t xml:space="preserve">This study uses the mixed method which combines qualitative and quantitative methods in a single study. Qualitative methods were used to analyze non-financial aspects such as management, marketing, production </w:t>
      </w:r>
      <w:r w:rsidRPr="00CB3333">
        <w:rPr>
          <w:rFonts w:ascii="Adobe Garamond Pro" w:hAnsi="Adobe Garamond Pro" w:cs="Times New Roman"/>
        </w:rPr>
        <w:lastRenderedPageBreak/>
        <w:t xml:space="preserve">techniques, and operational conditions of the Sinar Baru amplang business descriptively with interviews and field observations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{"citationItems":[{"id":"ITEM-1","itemData":{"abstract":"The purpose of this literature research is to help future authors determine the right research design.","author":[{"dropping-particle":"","family":"Candra Susanto","given":"Primadi","non-dropping-particle":"","parse-names":false,"suffix":""},{"dropping-particle":"","family":"Ulfah Arini","given":"Dewi","non-dropping-particle":"","parse-names":false,"suffix":""},{"dropping-particle":"","family":"Marlita","given":"Devi","non-dropping-particle":"","parse-names":false,"suffix":""},{"dropping-particle":"","family":"Yuntina","given":"Lily","non-dropping-particle":"","parse-names":false,"suffix":""},{"dropping-particle":"","family":"Saribanon","given":"Euis","non-dropping-particle":"","parse-names":false,"suffix":""}],"container-title":"International Journal of Advanced Multidisciplinary (IJAM)","id":"ITEM-1","issue":"3","issued":{"date-parts":[["2024"]]},"page":"471-485","title":"Mixed Methods Research Design Concepts: Quantitative, Qualitative, Exploratory Sequential, Exploratory Sequential, Embedded and Parallel Convergent","type":"article-journal","volume":"3"},"uris":["http://www.mendeley.com/documents/?uuid=b36cd074-f2b8-4747-8fad-6d0c5ba7d435"]},{"id":"ITEM-2","itemData":{"ISBN":"9781316505038","author":[{"dropping-particle":"","family":"Moeller","given":"Aleidine J","non-dropping-particle":"","parse-names":false,"suffix":""},{"dropping-particle":"","family":"Creswell","given":"John W","non-dropping-particle":"","parse-names":false,"suffix":""},{"dropping-particle":"","family":"Saville","given":"Nick","non-dropping-particle":"","parse-names":false,"suffix":""}],"id":"ITEM-2","issued":{"date-parts":[["2016"]]},"title":"Second Language Assessment and Mixed Methods Research from testing and innovation theory solution academic writing in higher education use of multilingual proficiency frameworks","type":"book"},"uris":["http://www.mendeley.com/documents/?uuid=5b96e3e5-2455-40c7-8ff5-193f7dffc7e0"]},{"id":"ITEM-3","itemData":{"DOI":"10.33509/admit.v1i2.2437","abstract":"Pembukaan cabang baru merupakan salah satu upaya untuk mengembangkan suatu usaha dan meningkatkan pangsa pasar lebih luas, namun langkah dalam pembukaan cabang baru juga perlu dipersiapkan dengan matang agar suatu perusahaan dapat terhindar dari berbagai macam resiko kerugian. Salah satu cara agar terhindar dari resiko kerugian ialah dengan melakukan studi kelayakan usaha, studi kelayakan usaha adalah metode analisis untuk menentukan kelayakan suatu usaha agar dapat terhindar dari berbagai ancaman dan resiko yang mungkin bisa terjadi di masa yang akang datang. Penelitian ini dilakukan pada PT Talenta International Tourism Makassar, penelitian ini menggunakan metode kualitatif desktriptif untuk menjelaskan hasil secara deskriptif. Penelitian dilaksanakan pada bulan maret 2023 hingga Juli 2023, sumber data diperoleh dari data primer dan data sekunder. Teknik pengumpulan data diperoleh dari wawancara dan telaah dokumen. Aspek yang akan ditinjau dalam penelitian ini yakni Aspek Umum dan Manajemen, Aspek Pasar dan Pemasaran, Aspek Teknik, dan Aspek Keuangan.","author":[{"dropping-particle":"","family":"Hartanto Ismail","given":"Adrian","non-dropping-particle":"","parse-names":false,"suffix":""},{"dropping-particle":"","family":"Rahmat","given":"Rahmat","non-dropping-particle":"","parse-names":false,"suffix":""}],"container-title":"Admit: Jurnal Administrasi Terapan","id":"ITEM-3","issue":"2","issued":{"date-parts":[["2023"]]},"page":"223-240","title":"Studi Kelayakan Bisnis Untuk Pengembangan Usaha Pada Pt Talenta International Tourism","type":"article-journal","volume":"1"},"uris":["http://www.mendeley.com/documents/?uuid=f35deade-31cf-4309-857c-f517cadc08fd"]}],"mendeley":{"formattedCitation":"(Candra Susanto et al. 2024; Hartanto Ismail and Rahmat 2023; Moeller, Creswell, and Saville 2016)","plainTextFormattedCitation":"(Candra Susanto et al. 2024; Hartanto Ismail and Rahmat 2023; Moeller, Creswell, and Saville 2016)","previouslyFormattedCitation":"(Candra Susanto et al. 2024; Hartanto Ismail and Rahmat 2023; Moeller, Creswell, and Saville 2016)"},"properties":{"noteIndex":0},"schema":"https://github.com/citation-style-language/schema/raw/master/csl-citation.json"}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(Candra Susanto et al. 2024; Hartanto Ismail and Rahmat 2023; Moeller, Creswell, and Saville 2016)</w:t>
      </w:r>
      <w:r w:rsidRPr="00CB3333">
        <w:rPr>
          <w:rFonts w:ascii="Adobe Garamond Pro" w:hAnsi="Adobe Garamond Pro" w:cs="Times New Roman"/>
        </w:rPr>
        <w:fldChar w:fldCharType="end"/>
      </w:r>
      <w:r w:rsidRPr="00CB3333">
        <w:rPr>
          <w:rFonts w:ascii="Adobe Garamond Pro" w:hAnsi="Adobe Garamond Pro" w:cs="Times New Roman"/>
        </w:rPr>
        <w:t xml:space="preserve">. The quantitative method is applied to the financial aspect by calculating investment metrics using NPV, IRR, Payback Period, and BEP on business financial data. This mixed method approach allows for a more complete and valid understanding of the feasibility of the business by integrating narrative data and numerical data to produce more reliable and comprehensive conclusions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{"citationItems":[{"id":"ITEM-1","itemData":{"abstract":"The purpose of this literature research is to help future authors determine the right research design.","author":[{"dropping-particle":"","family":"Candra Susanto","given":"Primadi","non-dropping-particle":"","parse-names":false,"suffix":""},{"dropping-particle":"","family":"Ulfah Arini","given":"Dewi","non-dropping-particle":"","parse-names":false,"suffix":""},{"dropping-particle":"","family":"Marlita","given":"Devi","non-dropping-particle":"","parse-names":false,"suffix":""},{"dropping-particle":"","family":"Yuntina","given":"Lily","non-dropping-particle":"","parse-names":false,"suffix":""},{"dropping-particle":"","family":"Saribanon","given":"Euis","non-dropping-particle":"","parse-names":false,"suffix":""}],"container-title":"International Journal of Advanced Multidisciplinary (IJAM)","id":"ITEM-1","issue":"3","issued":{"date-parts":[["2024"]]},"page":"471-485","title":"Mixed Methods Research Design Concepts: Quantitative, Qualitative, Exploratory Sequential, Exploratory Sequential, Embedded and Parallel Convergent","type":"article-journal","volume":"3"},"uris":["http://www.mendeley.com/documents/?uuid=b36cd074-f2b8-4747-8fad-6d0c5ba7d435"]},{"id":"ITEM-2","itemData":{"DOI":"10.33509/admit.v1i2.2437","abstract":"Pembukaan cabang baru merupakan salah satu upaya untuk mengembangkan suatu usaha dan meningkatkan pangsa pasar lebih luas, namun langkah dalam pembukaan cabang baru juga perlu dipersiapkan dengan matang agar suatu perusahaan dapat terhindar dari berbagai macam resiko kerugian. Salah satu cara agar terhindar dari resiko kerugian ialah dengan melakukan studi kelayakan usaha, studi kelayakan usaha adalah metode analisis untuk menentukan kelayakan suatu usaha agar dapat terhindar dari berbagai ancaman dan resiko yang mungkin bisa terjadi di masa yang akang datang. Penelitian ini dilakukan pada PT Talenta International Tourism Makassar, penelitian ini menggunakan metode kualitatif desktriptif untuk menjelaskan hasil secara deskriptif. Penelitian dilaksanakan pada bulan maret 2023 hingga Juli 2023, sumber data diperoleh dari data primer dan data sekunder. Teknik pengumpulan data diperoleh dari wawancara dan telaah dokumen. Aspek yang akan ditinjau dalam penelitian ini yakni Aspek Umum dan Manajemen, Aspek Pasar dan Pemasaran, Aspek Teknik, dan Aspek Keuangan.","author":[{"dropping-particle":"","family":"Hartanto Ismail","given":"Adrian","non-dropping-particle":"","parse-names":false,"suffix":""},{"dropping-particle":"","family":"Rahmat","given":"Rahmat","non-dropping-particle":"","parse-names":false,"suffix":""}],"container-title":"Admit: Jurnal Administrasi Terapan","id":"ITEM-2","issue":"2","issued":{"date-parts":[["2023"]]},"page":"223-240","title":"Studi Kelayakan Bisnis Untuk Pengembangan Usaha Pada Pt Talenta International Tourism","type":"article-journal","volume":"1"},"uris":["http://www.mendeley.com/documents/?uuid=f35deade-31cf-4309-857c-f517cadc08fd"]},{"id":"ITEM-3","itemData":{"ISBN":"9781316505038","author":[{"dropping-particle":"","family":"Moeller","given":"Aleidine J","non-dropping-particle":"","parse-names":false,"suffix":""},{"dropping-particle":"","family":"Creswell","given":"John W","non-dropping-particle":"","parse-names":false,"suffix":""},{"dropping-particle":"","family":"Saville","given":"Nick","non-dropping-particle":"","parse-names":false,"suffix":""}],"id":"ITEM-3","issued":{"date-parts":[["2016"]]},"title":"Second Language Assessment and Mixed Methods Research from testing and innovation theory solution academic writing in higher education use of multilingual proficiency frameworks","type":"book"},"uris":["http://www.mendeley.com/documents/?uuid=5b96e3e5-2455-40c7-8ff5-193f7dffc7e0"]}],"mendeley":{"formattedCitation":"(Candra Susanto et al. 2024; Hartanto Ismail and Rahmat 2023; Moeller et al. 2016)","plainTextFormattedCitation":"(Candra Susanto et al. 2024; Hartanto Ismail and Rahmat 2023; Moeller et al. 2016)","previouslyFormattedCitation":"(Candra Susanto et al. 2024; Hartanto Ismail and Rahmat 2023; Moeller et al. 2016)"},"properties":{"noteIndex":0},"schema":"https://github.com/citation-style-language/schema/raw/master/csl-citation.json"}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(Candra Susanto et al. 2024; Hartanto Ismail and Rahmat 2023; Moeller et al. 2016)</w:t>
      </w:r>
      <w:r w:rsidRPr="00CB3333">
        <w:rPr>
          <w:rFonts w:ascii="Adobe Garamond Pro" w:hAnsi="Adobe Garamond Pro" w:cs="Times New Roman"/>
        </w:rPr>
        <w:fldChar w:fldCharType="end"/>
      </w:r>
      <w:r w:rsidRPr="00CB3333">
        <w:rPr>
          <w:rFonts w:ascii="Adobe Garamond Pro" w:hAnsi="Adobe Garamond Pro" w:cs="Times New Roman"/>
        </w:rPr>
        <w:t>.</w:t>
      </w:r>
      <w:bookmarkEnd w:id="0"/>
    </w:p>
    <w:p w14:paraId="4B8A7308" w14:textId="3384348D" w:rsidR="00CB3333" w:rsidRPr="00CB3333" w:rsidRDefault="00CB3333" w:rsidP="002544F2">
      <w:pPr>
        <w:spacing w:line="360" w:lineRule="auto"/>
        <w:ind w:firstLine="720"/>
        <w:jc w:val="both"/>
        <w:rPr>
          <w:rFonts w:ascii="Adobe Garamond Pro" w:hAnsi="Adobe Garamond Pro" w:cs="Times New Roman"/>
        </w:rPr>
      </w:pPr>
      <w:r w:rsidRPr="00CB3333">
        <w:rPr>
          <w:rFonts w:ascii="Adobe Garamond Pro" w:hAnsi="Adobe Garamond Pro" w:cs="Times New Roman"/>
        </w:rPr>
        <w:t>In the feasibility study of the Sinar Baru amplang business, there are several investment formulas used and explained as follows:</w:t>
      </w:r>
    </w:p>
    <w:p w14:paraId="575F66CD" w14:textId="7979F541" w:rsidR="00CB3333" w:rsidRPr="00CB3333" w:rsidRDefault="00CB3333" w:rsidP="00A73294">
      <w:pPr>
        <w:spacing w:line="360" w:lineRule="auto"/>
        <w:jc w:val="both"/>
        <w:rPr>
          <w:rFonts w:ascii="Adobe Garamond Pro" w:hAnsi="Adobe Garamond Pro" w:cs="Times New Roman"/>
        </w:rPr>
      </w:pPr>
      <w:r w:rsidRPr="00CB3333">
        <w:rPr>
          <w:rFonts w:ascii="Adobe Garamond Pro" w:hAnsi="Adobe Garamond Pro" w:cs="Times New Roman"/>
        </w:rPr>
        <w:t xml:space="preserve">Net Present Value (NPV) is one of the investment analysis tools used to assess the feasibility of a project by calculating the difference between the present value of the cash flow and the present value of the initial investment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{"citationItems":[{"id":"ITEM-1","itemData":{"DOI":"10.21608/pshj.2022.250026","abstract":"Penelitian ini dilakukan di objek wisata kuliner tepian Danau Ranau Kabupaten Ogan Komering Ulu Selatan. Tujuan dalam penelitian ini adalah menganalisis kelayakan finansial kuliner agrowisata menggunakan perhitungan Net Present Value (NPV), Metode Annual Equivalent (AE), Metode Internal Rate of Return (IRR), Metode Benefit Cost Ratio (BCR) dan Metode Payback Period (PBP).","author":[{"dropping-particle":"","family":"Pusvita","given":"L. Andrean; Putri Ayu Ogari; Ema","non-dropping-particle":"","parse-names":false,"suffix":""}],"container-title":"Jurnal Ilmiah Mahasiswa AGROINFO GALUH","id":"ITEM-1","issue":"1","issued":{"date-parts":[["2024"]]},"page":"998-1009","title":"Analisis Kelayakan Finansial Kuliner Agrowisata Tepian Danau Ranau Kabupaten Ogan Komering Ulu Selatan","type":"article-journal","volume":"11"},"uris":["http://www.mendeley.com/documents/?uuid=1d7f74e1-6411-4789-a208-6b9bd3d9ff59","http://www.mendeley.com/documents/?uuid=9b65d2d8-927c-4653-8f1b-ee3e076653f5","http://www.mendeley.com/documents/?uuid=d4161ffa-3e9b-46b0-a0e9-ece1d2bc5294"]}],"mendeley":{"formattedCitation":"(Pusvita 2024)","plainTextFormattedCitation":"(Pusvita 2024)","previouslyFormattedCitation":"(Pusvita 2024)"},"properties":{"noteIndex":0},"schema":"https://github.com/citation-style-language/schema/raw/master/csl-citation.json"}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(Pusvita 2024)</w:t>
      </w:r>
      <w:r w:rsidRPr="00CB3333">
        <w:rPr>
          <w:rFonts w:ascii="Adobe Garamond Pro" w:hAnsi="Adobe Garamond Pro" w:cs="Times New Roman"/>
        </w:rPr>
        <w:fldChar w:fldCharType="end"/>
      </w:r>
      <w:r w:rsidRPr="00CB3333">
        <w:rPr>
          <w:rFonts w:ascii="Adobe Garamond Pro" w:hAnsi="Adobe Garamond Pro" w:cs="Times New Roman"/>
        </w:rPr>
        <w:t>.</w:t>
      </w:r>
    </w:p>
    <w:p w14:paraId="1526DF38" w14:textId="05450D0A" w:rsidR="00CB3333" w:rsidRPr="00CB3333" w:rsidRDefault="00CB3333" w:rsidP="00A73294">
      <w:pPr>
        <w:spacing w:line="360" w:lineRule="auto"/>
        <w:jc w:val="both"/>
        <w:rPr>
          <w:rFonts w:ascii="Adobe Garamond Pro" w:hAnsi="Adobe Garamond Pro" w:cs="Times New Roman"/>
        </w:rPr>
      </w:pPr>
      <w:r w:rsidRPr="00CB3333">
        <w:rPr>
          <w:rFonts w:ascii="Adobe Garamond Pro" w:hAnsi="Adobe Garamond Pro" w:cs="Times New Roman"/>
        </w:rPr>
        <w:t xml:space="preserve">The concept of NPV is based on the principle of the time value of money (time value of money) which states that the money received today has a higher value than the money received in the future because it can be reinvested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{"citationItems":[{"id":"ITEM-1","itemData":{"DOI":"10.21608/pshj.2022.250026","abstract":"Penelitian ini dilakukan di objek wisata kuliner tepian Danau Ranau Kabupaten Ogan Komering Ulu Selatan. Tujuan dalam penelitian ini adalah menganalisis kelayakan finansial kuliner agrowisata menggunakan perhitungan Net Present Value (NPV), Metode Annual Equivalent (AE), Metode Internal Rate of Return (IRR), Metode Benefit Cost Ratio (BCR) dan Metode Payback Period (PBP).","author":[{"dropping-particle":"","family":"Pusvita","given":"L. Andrean; Putri Ayu Ogari; Ema","non-dropping-particle":"","parse-names":false,"suffix":""}],"container-title":"Jurnal Ilmiah Mahasiswa AGROINFO GALUH","id":"ITEM-1","issue":"1","issued":{"date-parts":[["2024"]]},"page":"998-1009","title":"Analisis Kelayakan Finansial Kuliner Agrowisata Tepian Danau Ranau Kabupaten Ogan Komering Ulu Selatan","type":"article-journal","volume":"11"},"uris":["http://www.mendeley.com/documents/?uuid=d4161ffa-3e9b-46b0-a0e9-ece1d2bc5294","http://www.mendeley.com/documents/?uuid=9b65d2d8-927c-4653-8f1b-ee3e076653f5","http://www.mendeley.com/documents/?uuid=1d7f74e1-6411-4789-a208-6b9bd3d9ff59"]}],"mendeley":{"formattedCitation":"(Pusvita 2024)","plainTextFormattedCitation":"(Pusvita 2024)","previouslyFormattedCitation":"(Pusvita 2024)"},"properties":{"noteIndex":0},"schema":"https://github.com/citation-style-language/schema/raw/master/csl-citation.json"}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(Pusvita 2024)</w:t>
      </w:r>
      <w:r w:rsidRPr="00CB3333">
        <w:rPr>
          <w:rFonts w:ascii="Adobe Garamond Pro" w:hAnsi="Adobe Garamond Pro" w:cs="Times New Roman"/>
        </w:rPr>
        <w:fldChar w:fldCharType="end"/>
      </w:r>
      <w:r w:rsidRPr="00CB3333">
        <w:rPr>
          <w:rFonts w:ascii="Adobe Garamond Pro" w:hAnsi="Adobe Garamond Pro" w:cs="Times New Roman"/>
        </w:rPr>
        <w:t>.</w:t>
      </w:r>
    </w:p>
    <w:p w14:paraId="1A0BAAC3" w14:textId="6AB14739" w:rsidR="00CB3333" w:rsidRDefault="00CB3333" w:rsidP="00A73294">
      <w:pPr>
        <w:spacing w:line="360" w:lineRule="auto"/>
        <w:jc w:val="both"/>
        <w:rPr>
          <w:rFonts w:ascii="Adobe Garamond Pro" w:hAnsi="Adobe Garamond Pro" w:cs="Times New Roman"/>
        </w:rPr>
      </w:pPr>
      <w:r w:rsidRPr="00CB3333">
        <w:rPr>
          <w:rFonts w:ascii="Adobe Garamond Pro" w:hAnsi="Adobe Garamond Pro" w:cs="Times New Roman"/>
        </w:rPr>
        <w:t xml:space="preserve">In the context of culinary businesses such as amplang Sinar Baru, NPV calculation is used to find out whether a project can generate profits after taking into account capital costs, production costs, and revenue from sales. If the NPV is positive, it means that the effort provides additional value (value creation) to the invested capital, so that it is feasible to run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{"citationItems":[{"id":"ITEM-1","itemData":{"DOI":"10.21608/pshj.2022.250026","abstract":"Penelitian ini dilakukan di objek wisata kuliner tepian Danau Ranau Kabupaten Ogan Komering Ulu Selatan. Tujuan dalam penelitian ini adalah menganalisis kelayakan finansial kuliner agrowisata menggunakan perhitungan Net Present Value (NPV), Metode Annual Equivalent (AE), Metode Internal Rate of Return (IRR), Metode Benefit Cost Ratio (BCR) dan Metode Payback Period (PBP).","author":[{"dropping-particle":"","family":"Pusvita","given":"L. Andrean; Putri Ayu Ogari; Ema","non-dropping-particle":"","parse-names":false,"suffix":""}],"container-title":"Jurnal Ilmiah Mahasiswa AGROINFO GALUH","id":"ITEM-1","issue":"1","issued":{"date-parts":[["2024"]]},"page":"998-1009","title":"Analisis Kelayakan Finansial Kuliner Agrowisata Tepian Danau Ranau Kabupaten Ogan Komering Ulu Selatan","type":"article-journal","volume":"11"},"uris":["http://www.mendeley.com/documents/?uuid=d4161ffa-3e9b-46b0-a0e9-ece1d2bc5294","http://www.mendeley.com/documents/?uuid=9b65d2d8-927c-4653-8f1b-ee3e076653f5","http://www.mendeley.com/documents/?uuid=1d7f74e1-6411-4789-a208-6b9bd3d9ff59"]}],"mendeley":{"formattedCitation":"(Pusvita 2024)","plainTextFormattedCitation":"(Pusvita 2024)","previouslyFormattedCitation":"(Pusvita 2024)"},"properties":{"noteIndex":0},"schema":"https://github.com/citation-style-language/schema/raw/master/csl-citation.json"}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(Pusvita 2024)</w:t>
      </w:r>
      <w:r w:rsidRPr="00CB3333">
        <w:rPr>
          <w:rFonts w:ascii="Adobe Garamond Pro" w:hAnsi="Adobe Garamond Pro" w:cs="Times New Roman"/>
        </w:rPr>
        <w:fldChar w:fldCharType="end"/>
      </w:r>
      <w:r w:rsidRPr="00CB3333">
        <w:rPr>
          <w:rFonts w:ascii="Adobe Garamond Pro" w:hAnsi="Adobe Garamond Pro" w:cs="Times New Roman"/>
        </w:rPr>
        <w:t>.</w:t>
      </w:r>
    </w:p>
    <w:p w14:paraId="2DD5CC97" w14:textId="39FF812F" w:rsidR="00CB3333" w:rsidRPr="00CB3333" w:rsidRDefault="00CB3333" w:rsidP="00540B9F">
      <w:pPr>
        <w:spacing w:after="0" w:line="360" w:lineRule="auto"/>
        <w:jc w:val="both"/>
        <w:rPr>
          <w:rFonts w:ascii="Adobe Garamond Pro" w:hAnsi="Adobe Garamond Pro" w:cs="Times New Roman"/>
        </w:rPr>
      </w:pPr>
      <w:r w:rsidRPr="00CB3333">
        <w:rPr>
          <w:rFonts w:ascii="Adobe Garamond Pro" w:hAnsi="Adobe Garamond Pro" w:cs="Times New Roman"/>
        </w:rPr>
        <w:t>Formula:</w:t>
      </w:r>
    </w:p>
    <w:p w14:paraId="7E167845" w14:textId="77777777" w:rsidR="00CB3333" w:rsidRPr="00CB3333" w:rsidRDefault="00CB3333" w:rsidP="00540B9F">
      <w:pPr>
        <w:spacing w:after="0" w:line="360" w:lineRule="auto"/>
        <w:jc w:val="both"/>
        <w:rPr>
          <w:rFonts w:ascii="Adobe Garamond Pro" w:hAnsi="Adobe Garamond Pro" w:cs="Times New Roman"/>
        </w:rPr>
      </w:pPr>
      <m:oMathPara>
        <m:oMath>
          <m:r>
            <m:rPr>
              <m:sty m:val="p"/>
            </m:rPr>
            <w:rPr>
              <w:rFonts w:ascii="Cambria Math" w:hAnsi="Cambria Math" w:cs="Times New Roman"/>
            </w:rPr>
            <m:t>NPV=</m:t>
          </m:r>
          <m:nary>
            <m:naryPr>
              <m:chr m:val="∑"/>
              <m:ctrlPr>
                <w:rPr>
                  <w:rFonts w:ascii="Cambria Math" w:hAnsi="Cambria Math" w:cs="Times New Roman"/>
                </w:rPr>
              </m:ctrlPr>
            </m:naryPr>
            <m:sub>
              <m:r>
                <m:rPr>
                  <m:sty m:val="p"/>
                </m:rPr>
                <w:rPr>
                  <w:rFonts w:ascii="Cambria Math" w:hAnsi="Cambria Math" w:cs="Times New Roman"/>
                </w:rPr>
                <m:t>t=1</m:t>
              </m:r>
            </m:sub>
            <m:sup>
              <m:r>
                <m:rPr>
                  <m:sty m:val="p"/>
                </m:rPr>
                <w:rPr>
                  <w:rFonts w:ascii="Cambria Math" w:hAnsi="Cambria Math" w:cs="Times New Roman"/>
                </w:rPr>
                <m:t>n</m:t>
              </m:r>
            </m:sup>
            <m:e>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CF</m:t>
                      </m:r>
                    </m:e>
                    <m:sub>
                      <m:r>
                        <m:rPr>
                          <m:sty m:val="p"/>
                        </m:rPr>
                        <w:rPr>
                          <w:rFonts w:ascii="Cambria Math" w:hAnsi="Cambria Math" w:cs="Times New Roman"/>
                        </w:rPr>
                        <m:t>t</m:t>
                      </m:r>
                    </m:sub>
                  </m:sSub>
                </m:num>
                <m:den>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1+r)</m:t>
                      </m:r>
                    </m:e>
                    <m:sup>
                      <m:r>
                        <m:rPr>
                          <m:sty m:val="p"/>
                        </m:rPr>
                        <w:rPr>
                          <w:rFonts w:ascii="Cambria Math" w:hAnsi="Cambria Math" w:cs="Times New Roman"/>
                        </w:rPr>
                        <m:t>1</m:t>
                      </m:r>
                    </m:sup>
                  </m:sSup>
                </m:den>
              </m:f>
            </m:e>
          </m:nary>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I</m:t>
              </m:r>
            </m:e>
            <m:sub>
              <m:r>
                <m:rPr>
                  <m:sty m:val="p"/>
                </m:rPr>
                <w:rPr>
                  <w:rFonts w:ascii="Cambria Math" w:hAnsi="Cambria Math" w:cs="Times New Roman"/>
                </w:rPr>
                <m:t>0</m:t>
              </m:r>
            </m:sub>
          </m:sSub>
        </m:oMath>
      </m:oMathPara>
    </w:p>
    <w:p w14:paraId="3F10F0D8" w14:textId="77777777" w:rsidR="00CB3333" w:rsidRPr="00CB3333" w:rsidRDefault="00CB3333" w:rsidP="00540B9F">
      <w:pPr>
        <w:spacing w:after="0" w:line="360" w:lineRule="auto"/>
        <w:jc w:val="both"/>
        <w:rPr>
          <w:rFonts w:ascii="Adobe Garamond Pro" w:hAnsi="Adobe Garamond Pro" w:cs="Times New Roman"/>
        </w:rPr>
      </w:pPr>
      <w:r w:rsidRPr="00CB3333">
        <w:rPr>
          <w:rFonts w:ascii="Adobe Garamond Pro" w:hAnsi="Adobe Garamond Pro" w:cs="Times New Roman"/>
        </w:rPr>
        <w:t>Information:</w:t>
      </w:r>
    </w:p>
    <w:p w14:paraId="07F45907" w14:textId="77777777" w:rsidR="00CB3333" w:rsidRPr="00CB3333" w:rsidRDefault="00CB3333" w:rsidP="00540B9F">
      <w:pPr>
        <w:tabs>
          <w:tab w:val="left" w:pos="426"/>
        </w:tabs>
        <w:spacing w:after="0" w:line="360" w:lineRule="auto"/>
        <w:jc w:val="both"/>
        <w:rPr>
          <w:rFonts w:ascii="Adobe Garamond Pro" w:hAnsi="Adobe Garamond Pro" w:cs="Times New Roman"/>
        </w:rPr>
      </w:pPr>
      <w:r w:rsidRPr="00CB3333">
        <w:rPr>
          <w:rFonts w:ascii="Adobe Garamond Pro" w:hAnsi="Adobe Garamond Pro" w:cs="Times New Roman"/>
        </w:rPr>
        <w:t>CF</w:t>
      </w:r>
      <w:r w:rsidRPr="00CB3333">
        <w:rPr>
          <w:rFonts w:ascii="Adobe Garamond Pro" w:hAnsi="Adobe Garamond Pro" w:cs="Times New Roman"/>
          <w:vertAlign w:val="subscript"/>
        </w:rPr>
        <w:t xml:space="preserve">t </w:t>
      </w:r>
      <w:r w:rsidRPr="00CB3333">
        <w:rPr>
          <w:rFonts w:ascii="Adobe Garamond Pro" w:hAnsi="Adobe Garamond Pro" w:cs="Times New Roman"/>
        </w:rPr>
        <w:tab/>
        <w:t>= net cash flow in year t</w:t>
      </w:r>
    </w:p>
    <w:p w14:paraId="44080AC1" w14:textId="77777777" w:rsidR="00CB3333" w:rsidRPr="00CB3333" w:rsidRDefault="00CB3333" w:rsidP="00540B9F">
      <w:pPr>
        <w:tabs>
          <w:tab w:val="left" w:pos="426"/>
        </w:tabs>
        <w:spacing w:after="0" w:line="360" w:lineRule="auto"/>
        <w:jc w:val="both"/>
        <w:rPr>
          <w:rFonts w:ascii="Adobe Garamond Pro" w:hAnsi="Adobe Garamond Pro" w:cs="Times New Roman"/>
        </w:rPr>
      </w:pPr>
      <w:r w:rsidRPr="00CB3333">
        <w:rPr>
          <w:rFonts w:ascii="Adobe Garamond Pro" w:hAnsi="Adobe Garamond Pro" w:cs="Times New Roman"/>
        </w:rPr>
        <w:t>r</w:t>
      </w:r>
      <w:r w:rsidRPr="00CB3333">
        <w:rPr>
          <w:rFonts w:ascii="Adobe Garamond Pro" w:hAnsi="Adobe Garamond Pro" w:cs="Times New Roman"/>
        </w:rPr>
        <w:tab/>
        <w:t>= discount rate or cost of capital</w:t>
      </w:r>
    </w:p>
    <w:p w14:paraId="03916436" w14:textId="77777777" w:rsidR="00CB3333" w:rsidRPr="00CB3333" w:rsidRDefault="00CB3333" w:rsidP="00540B9F">
      <w:pPr>
        <w:tabs>
          <w:tab w:val="left" w:pos="426"/>
        </w:tabs>
        <w:spacing w:after="0" w:line="360" w:lineRule="auto"/>
        <w:jc w:val="both"/>
        <w:rPr>
          <w:rFonts w:ascii="Adobe Garamond Pro" w:hAnsi="Adobe Garamond Pro" w:cs="Times New Roman"/>
        </w:rPr>
      </w:pPr>
      <w:r w:rsidRPr="00CB3333">
        <w:rPr>
          <w:rFonts w:ascii="Adobe Garamond Pro" w:hAnsi="Adobe Garamond Pro" w:cs="Times New Roman"/>
        </w:rPr>
        <w:t>I</w:t>
      </w:r>
      <w:r w:rsidRPr="00CB3333">
        <w:rPr>
          <w:rFonts w:ascii="Adobe Garamond Pro" w:hAnsi="Adobe Garamond Pro" w:cs="Times New Roman"/>
          <w:vertAlign w:val="subscript"/>
        </w:rPr>
        <w:t>0</w:t>
      </w:r>
      <w:r w:rsidRPr="00CB3333">
        <w:rPr>
          <w:rFonts w:ascii="Adobe Garamond Pro" w:hAnsi="Adobe Garamond Pro" w:cs="Times New Roman"/>
          <w:vertAlign w:val="subscript"/>
        </w:rPr>
        <w:tab/>
      </w:r>
      <w:r w:rsidRPr="00CB3333">
        <w:rPr>
          <w:rFonts w:ascii="Adobe Garamond Pro" w:hAnsi="Adobe Garamond Pro" w:cs="Times New Roman"/>
        </w:rPr>
        <w:t>= initial investment</w:t>
      </w:r>
    </w:p>
    <w:p w14:paraId="7BBE13C7" w14:textId="77777777" w:rsidR="00CB3333" w:rsidRPr="00CB3333" w:rsidRDefault="00CB3333" w:rsidP="00540B9F">
      <w:pPr>
        <w:tabs>
          <w:tab w:val="left" w:pos="426"/>
        </w:tabs>
        <w:spacing w:after="0" w:line="360" w:lineRule="auto"/>
        <w:jc w:val="both"/>
        <w:rPr>
          <w:rFonts w:ascii="Adobe Garamond Pro" w:hAnsi="Adobe Garamond Pro" w:cs="Times New Roman"/>
        </w:rPr>
      </w:pPr>
      <w:r w:rsidRPr="00CB3333">
        <w:rPr>
          <w:rFonts w:ascii="Adobe Garamond Pro" w:hAnsi="Adobe Garamond Pro" w:cs="Times New Roman"/>
        </w:rPr>
        <w:t>n</w:t>
      </w:r>
      <w:r w:rsidRPr="00CB3333">
        <w:rPr>
          <w:rFonts w:ascii="Adobe Garamond Pro" w:hAnsi="Adobe Garamond Pro" w:cs="Times New Roman"/>
        </w:rPr>
        <w:tab/>
        <w:t>= project life</w:t>
      </w:r>
    </w:p>
    <w:p w14:paraId="020C028D" w14:textId="77777777" w:rsidR="00EA4EC7" w:rsidRDefault="00CB3333" w:rsidP="002544F2">
      <w:pPr>
        <w:pStyle w:val="EkomabisJudulSub2"/>
        <w:numPr>
          <w:ilvl w:val="0"/>
          <w:numId w:val="0"/>
        </w:numPr>
        <w:spacing w:line="360" w:lineRule="auto"/>
        <w:ind w:firstLine="720"/>
        <w:rPr>
          <w:rFonts w:ascii="Adobe Garamond Pro" w:hAnsi="Adobe Garamond Pro"/>
          <w:b w:val="0"/>
          <w:bCs/>
          <w:sz w:val="22"/>
        </w:rPr>
      </w:pPr>
      <w:r w:rsidRPr="00CB3333">
        <w:rPr>
          <w:rFonts w:ascii="Adobe Garamond Pro" w:hAnsi="Adobe Garamond Pro"/>
          <w:b w:val="0"/>
          <w:bCs/>
          <w:sz w:val="22"/>
        </w:rPr>
        <w:t>The interpretation is that if the NPV value is greater than zero (NPV &gt; 0), then the business is declared viable because it generates a net profit after taking into account the cost of capital. Conversely, if the NPV is negative (NPV &lt; 0), then the venture is considered unfeasible because the cash flow value received is not able to cover the initial investment</w:t>
      </w:r>
      <w:r w:rsidR="00EA4EC7">
        <w:rPr>
          <w:rFonts w:ascii="Adobe Garamond Pro" w:hAnsi="Adobe Garamond Pro"/>
          <w:b w:val="0"/>
          <w:bCs/>
          <w:sz w:val="22"/>
        </w:rPr>
        <w:t>.</w:t>
      </w:r>
    </w:p>
    <w:p w14:paraId="43E63C9F" w14:textId="19A44752" w:rsidR="00EA4EC7" w:rsidRDefault="00CB3333" w:rsidP="00540B9F">
      <w:pPr>
        <w:pStyle w:val="EkomabisJudulSub2"/>
        <w:numPr>
          <w:ilvl w:val="0"/>
          <w:numId w:val="0"/>
        </w:numPr>
        <w:spacing w:line="360" w:lineRule="auto"/>
        <w:rPr>
          <w:rFonts w:ascii="Adobe Garamond Pro" w:hAnsi="Adobe Garamond Pro"/>
          <w:b w:val="0"/>
          <w:bCs/>
          <w:sz w:val="22"/>
        </w:rPr>
      </w:pPr>
      <w:r w:rsidRPr="00CB3333">
        <w:rPr>
          <w:rFonts w:ascii="Adobe Garamond Pro" w:hAnsi="Adobe Garamond Pro"/>
          <w:b w:val="0"/>
          <w:bCs/>
          <w:sz w:val="22"/>
        </w:rPr>
        <w:lastRenderedPageBreak/>
        <w:t xml:space="preserve">Internal Rate of Return (IRR) is an indicator used to measure the rate of return internal of a business project </w:t>
      </w:r>
      <w:r w:rsidRPr="00CB3333">
        <w:rPr>
          <w:rFonts w:ascii="Adobe Garamond Pro" w:hAnsi="Adobe Garamond Pro"/>
          <w:b w:val="0"/>
          <w:bCs/>
          <w:sz w:val="22"/>
        </w:rPr>
        <w:fldChar w:fldCharType="begin" w:fldLock="1"/>
      </w:r>
      <w:r w:rsidR="00C40B61">
        <w:rPr>
          <w:rFonts w:ascii="Adobe Garamond Pro" w:hAnsi="Adobe Garamond Pro"/>
          <w:b w:val="0"/>
          <w:bCs/>
          <w:sz w:val="22"/>
        </w:rPr>
        <w:instrText>ADDIN CSL_CITATION {"citationItems":[{"id":"ITEM-1","itemData":{"DOI":"10.37859/jst.v11i1.6796","ISSN":"2354-6751","abstract":"Batam City offers attractive investment opportunities with optimistic economic growth projections of up to 7.08% in 2024, driven by key sectors such as industry, construction, trade and tourism, supported by infrastructure and government pro-business policies. Changes in people's lifestyles, including the demand for culinary variety, have created opportunities for fast food businesses, especially the popular fried chicken. Culinary tourism in SP Batam attracts tourists. Financial analysis shows that investment in the Ayam Geprek Sambal Lesung Paradisa MSME is feasible and profitable, with an internal rate of return of 9.5%, a 7 month Payback Period, and a multi-product Break Even Point, indicating an attractive business opportunity for entrepreneurs","author":[{"dropping-particle":"","family":"Asmarawati","given":"Citra Indah","non-dropping-particle":"","parse-names":false,"suffix":""},{"dropping-particle":"","family":"Ginting","given":"Kristanto","non-dropping-particle":"","parse-names":false,"suffix":""}],"container-title":"Jurnal Surya Teknika","id":"ITEM-1","issue":"1","issued":{"date-parts":[["2024"]]},"page":"29-32","title":"Analisis Kelayakan Finansial Pada Usaha Ayam Geprek Di Kota Batam","type":"article-journal","volume":"11"},"uris":["http://www.mendeley.com/documents/?uuid=f8b37718-2c8a-41a7-a18f-b9dd242d0e87","http://www.mendeley.com/documents/?uuid=627dcaa1-924d-4bca-a0c8-3d79a752546e","http://www.mendeley.com/documents/?uuid=b0ec9b89-9754-48ec-a47f-c673bc8ceabe"]}],"mendeley":{"formattedCitation":"(Asmarawati and Ginting 2024)","plainTextFormattedCitation":"(Asmarawati and Ginting 2024)","previouslyFormattedCitation":"(Asmarawati and Ginting 2024)"},"properties":{"noteIndex":0},"schema":"https://github.com/citation-style-language/schema/raw/master/csl-citation.json"}</w:instrText>
      </w:r>
      <w:r w:rsidRPr="00CB3333">
        <w:rPr>
          <w:rFonts w:ascii="Adobe Garamond Pro" w:hAnsi="Adobe Garamond Pro"/>
          <w:b w:val="0"/>
          <w:bCs/>
          <w:sz w:val="22"/>
        </w:rPr>
        <w:fldChar w:fldCharType="separate"/>
      </w:r>
      <w:r w:rsidR="00C40B61" w:rsidRPr="00C40B61">
        <w:rPr>
          <w:rFonts w:ascii="Adobe Garamond Pro" w:hAnsi="Adobe Garamond Pro"/>
          <w:b w:val="0"/>
          <w:bCs/>
          <w:noProof/>
          <w:sz w:val="22"/>
        </w:rPr>
        <w:t>(Asmarawati and Ginting 2024)</w:t>
      </w:r>
      <w:r w:rsidRPr="00CB3333">
        <w:rPr>
          <w:rFonts w:ascii="Adobe Garamond Pro" w:hAnsi="Adobe Garamond Pro"/>
          <w:b w:val="0"/>
          <w:bCs/>
          <w:sz w:val="22"/>
        </w:rPr>
        <w:fldChar w:fldCharType="end"/>
      </w:r>
      <w:r w:rsidRPr="00CB3333">
        <w:rPr>
          <w:rFonts w:ascii="Adobe Garamond Pro" w:hAnsi="Adobe Garamond Pro"/>
          <w:b w:val="0"/>
          <w:bCs/>
          <w:sz w:val="22"/>
        </w:rPr>
        <w:t>. IRR indicates the discount rate where the NPV value is equal to zero. Thus, the IRR describes the level of investment efficiency and becomes the main reference for investors in assessing whether the project is feasible to proceed or not.</w:t>
      </w:r>
    </w:p>
    <w:p w14:paraId="58A80684" w14:textId="4D240AB1" w:rsidR="00CB3333" w:rsidRDefault="00CB3333" w:rsidP="002544F2">
      <w:pPr>
        <w:pStyle w:val="EkomabisJudulSub2"/>
        <w:numPr>
          <w:ilvl w:val="0"/>
          <w:numId w:val="0"/>
        </w:numPr>
        <w:spacing w:line="360" w:lineRule="auto"/>
        <w:ind w:firstLine="720"/>
        <w:rPr>
          <w:rFonts w:ascii="Adobe Garamond Pro" w:hAnsi="Adobe Garamond Pro"/>
          <w:b w:val="0"/>
          <w:bCs/>
          <w:sz w:val="22"/>
        </w:rPr>
      </w:pPr>
      <w:r w:rsidRPr="00CB3333">
        <w:rPr>
          <w:rFonts w:ascii="Adobe Garamond Pro" w:hAnsi="Adobe Garamond Pro"/>
          <w:b w:val="0"/>
          <w:bCs/>
          <w:sz w:val="22"/>
        </w:rPr>
        <w:t xml:space="preserve">In culinary businesses such as the Sinar Baru amplang, IRR is used to find out how much return on capital is obtained from production and sales activities. If the IRR is greater than the applicable capital cost or interest rate, then the project is declared efficient and profitable </w:t>
      </w:r>
      <w:r w:rsidRPr="00CB3333">
        <w:rPr>
          <w:rFonts w:ascii="Adobe Garamond Pro" w:hAnsi="Adobe Garamond Pro"/>
          <w:b w:val="0"/>
          <w:bCs/>
          <w:sz w:val="22"/>
        </w:rPr>
        <w:fldChar w:fldCharType="begin" w:fldLock="1"/>
      </w:r>
      <w:r w:rsidR="00C40B61">
        <w:rPr>
          <w:rFonts w:ascii="Adobe Garamond Pro" w:hAnsi="Adobe Garamond Pro"/>
          <w:b w:val="0"/>
          <w:bCs/>
          <w:sz w:val="22"/>
        </w:rPr>
        <w:instrText>ADDIN CSL_CITATION {"citationItems":[{"id":"ITEM-1","itemData":{"ISSN":"2775-0809","abstract":"Joyinz Café is a café that has an American concept-themed retro vintage to create a uniquely happy and comfortable atmosphere and also serves a variety of Typical American dishes. This café serves dishes commonly found at fairs, carnivals, or festivals in America such as funnel cake that has not been popular in Indonesia. However, the café also serves salty and sweet dishes as well as a variety of drinks such as coffee, mocktails, milkshakes, and smoothies. Gluten-free mocaf flour is used as a substitute for wheat flour in food so as to produce healthier food by healthy culinary trends. Therefore, this café aims to introduce a variety of uniquely American dishes with the use of mocaf flour so that customers can eat healthier foods and support the local food diversification movement launched by the Minister of Agriculture during the COVID-19 pandemic. The study aims to analyze the business feasibility of Joyinz Café having feasibility to run or not. The research method used is a business research method with a quantitative approach. The data collection process was carried out by distributing online questionnaires to 395 respondents using convenience sampling techniques and observation. The analysis method consists of several aspects namely the analysis of market and marketing aspects, operational aspects, organizational aspects (human resources), and financial aspects. Joyinz Café is a viable and profitable business.","author":[{"dropping-particle":"","family":"Oey","given":"Michelle","non-dropping-particle":"","parse-names":false,"suffix":""},{"dropping-particle":"","family":"Juliana","given":"","non-dropping-particle":"","parse-names":false,"suffix":""}],"container-title":"International Journal of Social and Management Studies (Ijosmas)","id":"ITEM-1","issue":"2","issued":{"date-parts":[["2022"]]},"page":"164-174","title":"Business Feasibility Study Joyinz Café at KH. Soleh Ali, Tangerang","type":"article-journal","volume":"3 (2)"},"uris":["http://www.mendeley.com/documents/?uuid=35042480-61f0-48ab-a068-540f85d3cf25"]}],"mendeley":{"formattedCitation":"(Oey and Juliana 2022)","plainTextFormattedCitation":"(Oey and Juliana 2022)","previouslyFormattedCitation":"(Oey and Juliana 2022)"},"properties":{"noteIndex":0},"schema":"https://github.com/citation-style-language/schema/raw/master/csl-citation.json"}</w:instrText>
      </w:r>
      <w:r w:rsidRPr="00CB3333">
        <w:rPr>
          <w:rFonts w:ascii="Adobe Garamond Pro" w:hAnsi="Adobe Garamond Pro"/>
          <w:b w:val="0"/>
          <w:bCs/>
          <w:sz w:val="22"/>
        </w:rPr>
        <w:fldChar w:fldCharType="separate"/>
      </w:r>
      <w:r w:rsidR="00C40B61" w:rsidRPr="00C40B61">
        <w:rPr>
          <w:rFonts w:ascii="Adobe Garamond Pro" w:hAnsi="Adobe Garamond Pro"/>
          <w:b w:val="0"/>
          <w:bCs/>
          <w:noProof/>
          <w:sz w:val="22"/>
        </w:rPr>
        <w:t>(Oey and Juliana 2022)</w:t>
      </w:r>
      <w:r w:rsidRPr="00CB3333">
        <w:rPr>
          <w:rFonts w:ascii="Adobe Garamond Pro" w:hAnsi="Adobe Garamond Pro"/>
          <w:b w:val="0"/>
          <w:bCs/>
          <w:sz w:val="22"/>
        </w:rPr>
        <w:fldChar w:fldCharType="end"/>
      </w:r>
      <w:r w:rsidRPr="00CB3333">
        <w:rPr>
          <w:rFonts w:ascii="Adobe Garamond Pro" w:hAnsi="Adobe Garamond Pro"/>
          <w:b w:val="0"/>
          <w:bCs/>
          <w:sz w:val="22"/>
        </w:rPr>
        <w:t xml:space="preserve">. </w:t>
      </w:r>
    </w:p>
    <w:p w14:paraId="1484F74C" w14:textId="1BD1BF63" w:rsidR="00CB3333" w:rsidRPr="00CB3333" w:rsidRDefault="00CB3333" w:rsidP="00540B9F">
      <w:pPr>
        <w:pStyle w:val="EkomabisJudulSub2"/>
        <w:numPr>
          <w:ilvl w:val="0"/>
          <w:numId w:val="0"/>
        </w:numPr>
        <w:spacing w:line="360" w:lineRule="auto"/>
        <w:rPr>
          <w:rFonts w:ascii="Adobe Garamond Pro" w:hAnsi="Adobe Garamond Pro"/>
          <w:b w:val="0"/>
          <w:bCs/>
          <w:sz w:val="22"/>
        </w:rPr>
      </w:pPr>
      <w:r w:rsidRPr="00CB3333">
        <w:rPr>
          <w:rFonts w:ascii="Adobe Garamond Pro" w:hAnsi="Adobe Garamond Pro" w:cs="Times New Roman"/>
          <w:b w:val="0"/>
          <w:bCs/>
          <w:sz w:val="22"/>
        </w:rPr>
        <w:t>Formula:</w:t>
      </w:r>
    </w:p>
    <w:p w14:paraId="4C0FE56B" w14:textId="77777777" w:rsidR="00CB3333" w:rsidRPr="00CB3333" w:rsidRDefault="00CB3333" w:rsidP="00540B9F">
      <w:pPr>
        <w:spacing w:after="0" w:line="360" w:lineRule="auto"/>
        <w:jc w:val="both"/>
        <w:rPr>
          <w:rFonts w:ascii="Adobe Garamond Pro" w:hAnsi="Adobe Garamond Pro" w:cs="Times New Roman"/>
        </w:rPr>
      </w:pPr>
      <m:oMathPara>
        <m:oMath>
          <m:r>
            <m:rPr>
              <m:sty m:val="p"/>
            </m:rPr>
            <w:rPr>
              <w:rFonts w:ascii="Cambria Math" w:hAnsi="Cambria Math" w:cs="Times New Roman"/>
            </w:rPr>
            <m:t>IRR=</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1</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NPV</m:t>
                  </m:r>
                </m:e>
                <m:sub>
                  <m:r>
                    <m:rPr>
                      <m:sty m:val="p"/>
                    </m:rPr>
                    <w:rPr>
                      <w:rFonts w:ascii="Cambria Math" w:hAnsi="Cambria Math" w:cs="Times New Roman"/>
                    </w:rPr>
                    <m:t>1</m:t>
                  </m:r>
                </m:sub>
              </m:sSub>
            </m:num>
            <m:den>
              <m:sSub>
                <m:sSubPr>
                  <m:ctrlPr>
                    <w:rPr>
                      <w:rFonts w:ascii="Cambria Math" w:hAnsi="Cambria Math" w:cs="Times New Roman"/>
                    </w:rPr>
                  </m:ctrlPr>
                </m:sSubPr>
                <m:e>
                  <m:r>
                    <m:rPr>
                      <m:sty m:val="p"/>
                    </m:rPr>
                    <w:rPr>
                      <w:rFonts w:ascii="Cambria Math" w:hAnsi="Cambria Math" w:cs="Times New Roman"/>
                    </w:rPr>
                    <m:t>NPV</m:t>
                  </m:r>
                </m:e>
                <m:sub>
                  <m:r>
                    <m:rPr>
                      <m:sty m:val="p"/>
                    </m:rPr>
                    <w:rPr>
                      <w:rFonts w:ascii="Cambria Math" w:hAnsi="Cambria Math" w:cs="Times New Roman"/>
                    </w:rPr>
                    <m:t xml:space="preserve">1 </m:t>
                  </m:r>
                </m:sub>
              </m:sSub>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NPV</m:t>
                  </m:r>
                </m:e>
                <m:sub>
                  <m:r>
                    <m:rPr>
                      <m:sty m:val="p"/>
                    </m:rPr>
                    <w:rPr>
                      <w:rFonts w:ascii="Cambria Math" w:hAnsi="Cambria Math" w:cs="Times New Roman"/>
                    </w:rPr>
                    <m:t>2</m:t>
                  </m:r>
                </m:sub>
              </m:sSub>
            </m:den>
          </m:f>
          <m:r>
            <m:rPr>
              <m:sty m:val="p"/>
            </m:rPr>
            <w:rPr>
              <w:rFonts w:ascii="Cambria Math" w:hAnsi="Cambria Math" w:cs="Times New Roman"/>
            </w:rPr>
            <m:t xml:space="preserve"> x </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 xml:space="preserve">2 </m:t>
              </m:r>
            </m:sub>
          </m:sSub>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1</m:t>
              </m:r>
            </m:sub>
          </m:sSub>
          <m:r>
            <m:rPr>
              <m:sty m:val="p"/>
            </m:rPr>
            <w:rPr>
              <w:rFonts w:ascii="Cambria Math" w:hAnsi="Cambria Math" w:cs="Times New Roman"/>
            </w:rPr>
            <m:t>)</m:t>
          </m:r>
        </m:oMath>
      </m:oMathPara>
    </w:p>
    <w:p w14:paraId="18E1064D" w14:textId="77777777" w:rsidR="00CB3333" w:rsidRPr="00CB3333" w:rsidRDefault="00CB3333" w:rsidP="00540B9F">
      <w:pPr>
        <w:spacing w:after="0" w:line="360" w:lineRule="auto"/>
        <w:jc w:val="both"/>
        <w:rPr>
          <w:rFonts w:ascii="Adobe Garamond Pro" w:hAnsi="Adobe Garamond Pro" w:cs="Times New Roman"/>
        </w:rPr>
      </w:pPr>
      <w:r w:rsidRPr="00CB3333">
        <w:rPr>
          <w:rFonts w:ascii="Adobe Garamond Pro" w:hAnsi="Adobe Garamond Pro" w:cs="Times New Roman"/>
        </w:rPr>
        <w:t>Information:</w:t>
      </w:r>
    </w:p>
    <w:p w14:paraId="0BBB75F1" w14:textId="77777777" w:rsidR="00CB3333" w:rsidRPr="00CB3333" w:rsidRDefault="00CB3333" w:rsidP="00540B9F">
      <w:pPr>
        <w:tabs>
          <w:tab w:val="left" w:pos="1276"/>
        </w:tabs>
        <w:spacing w:after="0" w:line="360" w:lineRule="auto"/>
        <w:jc w:val="both"/>
        <w:rPr>
          <w:rFonts w:ascii="Adobe Garamond Pro" w:hAnsi="Adobe Garamond Pro" w:cs="Times New Roman"/>
        </w:rPr>
      </w:pPr>
      <w:r w:rsidRPr="00CB3333">
        <w:rPr>
          <w:rFonts w:ascii="Adobe Garamond Pro" w:hAnsi="Adobe Garamond Pro" w:cs="Times New Roman"/>
        </w:rPr>
        <w:t xml:space="preserve"> R</w:t>
      </w:r>
      <w:r w:rsidRPr="00CB3333">
        <w:rPr>
          <w:rFonts w:ascii="Adobe Garamond Pro" w:hAnsi="Adobe Garamond Pro" w:cs="Times New Roman"/>
          <w:vertAlign w:val="subscript"/>
        </w:rPr>
        <w:t>1</w:t>
      </w:r>
      <w:r w:rsidRPr="00CB3333">
        <w:rPr>
          <w:rFonts w:ascii="Adobe Garamond Pro" w:hAnsi="Adobe Garamond Pro" w:cs="Times New Roman"/>
        </w:rPr>
        <w:t>, R</w:t>
      </w:r>
      <w:r w:rsidRPr="00CB3333">
        <w:rPr>
          <w:rFonts w:ascii="Adobe Garamond Pro" w:hAnsi="Adobe Garamond Pro" w:cs="Times New Roman"/>
          <w:vertAlign w:val="subscript"/>
        </w:rPr>
        <w:t>2</w:t>
      </w:r>
      <w:r w:rsidRPr="00CB3333">
        <w:rPr>
          <w:rFonts w:ascii="Adobe Garamond Pro" w:hAnsi="Adobe Garamond Pro" w:cs="Times New Roman"/>
        </w:rPr>
        <w:tab/>
      </w:r>
      <w:r w:rsidRPr="00CB3333">
        <w:rPr>
          <w:rFonts w:ascii="Adobe Garamond Pro" w:hAnsi="Adobe Garamond Pro" w:cs="Times New Roman"/>
        </w:rPr>
        <w:tab/>
        <w:t>= two discount levels that result in positive and negative NPVs</w:t>
      </w:r>
    </w:p>
    <w:p w14:paraId="028C6049" w14:textId="77777777" w:rsidR="00EA4EC7" w:rsidRDefault="00CB3333" w:rsidP="00540B9F">
      <w:pPr>
        <w:tabs>
          <w:tab w:val="left" w:pos="1276"/>
        </w:tabs>
        <w:spacing w:after="0" w:line="360" w:lineRule="auto"/>
        <w:jc w:val="both"/>
        <w:rPr>
          <w:rFonts w:ascii="Adobe Garamond Pro" w:hAnsi="Adobe Garamond Pro" w:cs="Times New Roman"/>
        </w:rPr>
      </w:pPr>
      <w:r w:rsidRPr="00CB3333">
        <w:rPr>
          <w:rFonts w:ascii="Adobe Garamond Pro" w:hAnsi="Adobe Garamond Pro" w:cs="Times New Roman"/>
        </w:rPr>
        <w:t>NPV</w:t>
      </w:r>
      <w:r w:rsidRPr="00CB3333">
        <w:rPr>
          <w:rFonts w:ascii="Adobe Garamond Pro" w:hAnsi="Adobe Garamond Pro" w:cs="Times New Roman"/>
          <w:vertAlign w:val="subscript"/>
        </w:rPr>
        <w:t>1</w:t>
      </w:r>
      <w:r w:rsidRPr="00CB3333">
        <w:rPr>
          <w:rFonts w:ascii="Adobe Garamond Pro" w:hAnsi="Adobe Garamond Pro" w:cs="Times New Roman"/>
        </w:rPr>
        <w:t>, NPV</w:t>
      </w:r>
      <w:r w:rsidRPr="00CB3333">
        <w:rPr>
          <w:rFonts w:ascii="Adobe Garamond Pro" w:hAnsi="Adobe Garamond Pro" w:cs="Times New Roman"/>
          <w:vertAlign w:val="subscript"/>
        </w:rPr>
        <w:t>2</w:t>
      </w:r>
      <w:r w:rsidRPr="00CB3333">
        <w:rPr>
          <w:rFonts w:ascii="Adobe Garamond Pro" w:hAnsi="Adobe Garamond Pro" w:cs="Times New Roman"/>
        </w:rPr>
        <w:tab/>
        <w:t>= NPV value at each discount level</w:t>
      </w:r>
    </w:p>
    <w:p w14:paraId="2C68143F" w14:textId="15A64DAB" w:rsidR="00CB3333" w:rsidRPr="00CB3333" w:rsidRDefault="002544F2" w:rsidP="00540B9F">
      <w:pPr>
        <w:tabs>
          <w:tab w:val="left" w:pos="1276"/>
        </w:tabs>
        <w:spacing w:after="0" w:line="360" w:lineRule="auto"/>
        <w:jc w:val="both"/>
        <w:rPr>
          <w:rFonts w:ascii="Adobe Garamond Pro" w:hAnsi="Adobe Garamond Pro" w:cs="Times New Roman"/>
        </w:rPr>
      </w:pPr>
      <w:r>
        <w:rPr>
          <w:rFonts w:ascii="Adobe Garamond Pro" w:hAnsi="Adobe Garamond Pro" w:cs="Times New Roman"/>
        </w:rPr>
        <w:tab/>
      </w:r>
      <w:r w:rsidR="00CB3333" w:rsidRPr="00CB3333">
        <w:rPr>
          <w:rFonts w:ascii="Adobe Garamond Pro" w:hAnsi="Adobe Garamond Pro" w:cs="Times New Roman"/>
        </w:rPr>
        <w:t>The interpretation is that if the value of IRR is greater than the cost of capital, then the business is declared viable because the rate of return on investment exceeds the cost incurred to obtain the capital. Conversely, if the IRR is smaller than the cost of capital, then the venture is considered unfeasible because the rate of return is not enough to cover the cost of capital used.</w:t>
      </w:r>
    </w:p>
    <w:p w14:paraId="53218AC6" w14:textId="13D85FAB" w:rsidR="00EA4EC7" w:rsidRDefault="00CB3333" w:rsidP="002544F2">
      <w:pPr>
        <w:spacing w:line="360" w:lineRule="auto"/>
        <w:ind w:firstLine="720"/>
        <w:jc w:val="both"/>
        <w:rPr>
          <w:rFonts w:ascii="Adobe Garamond Pro" w:hAnsi="Adobe Garamond Pro" w:cs="Times New Roman"/>
        </w:rPr>
      </w:pPr>
      <w:r w:rsidRPr="00CB3333">
        <w:rPr>
          <w:rFonts w:ascii="Adobe Garamond Pro" w:hAnsi="Adobe Garamond Pro" w:cs="Times New Roman"/>
        </w:rPr>
        <w:t xml:space="preserve">Payback Period (PP) used to determine the period of time required for the initial investment to be returned through net cash flow. This method is widely used in small-medium scale culinary businesses because it is simple and easy to understand, and is able to describe business liquidity risks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{"citationItems":[{"id":"ITEM-1","itemData":{"DOI":"10.21608/pshj.2022.250026","abstract":"Penelitian ini dilakukan di objek wisata kuliner tepian Danau Ranau Kabupaten Ogan Komering Ulu Selatan. Tujuan dalam penelitian ini adalah menganalisis kelayakan finansial kuliner agrowisata menggunakan perhitungan Net Present Value (NPV), Metode Annual Equivalent (AE), Metode Internal Rate of Return (IRR), Metode Benefit Cost Ratio (BCR) dan Metode Payback Period (PBP).","author":[{"dropping-particle":"","family":"Pusvita","given":"L. Andrean; Putri Ayu Ogari; Ema","non-dropping-particle":"","parse-names":false,"suffix":""}],"container-title":"Jurnal Ilmiah Mahasiswa AGROINFO GALUH","id":"ITEM-1","issue":"1","issued":{"date-parts":[["2024"]]},"page":"998-1009","title":"Analisis Kelayakan Finansial Kuliner Agrowisata Tepian Danau Ranau Kabupaten Ogan Komering Ulu Selatan","type":"article-journal","volume":"11"},"uris":["http://www.mendeley.com/documents/?uuid=d4161ffa-3e9b-46b0-a0e9-ece1d2bc5294","http://www.mendeley.com/documents/?uuid=9b65d2d8-927c-4653-8f1b-ee3e076653f5","http://www.mendeley.com/documents/?uuid=1d7f74e1-6411-4789-a208-6b9bd3d9ff59"]}],"mendeley":{"formattedCitation":"(Pusvita 2024)","plainTextFormattedCitation":"(Pusvita 2024)","previouslyFormattedCitation":"(Pusvita 2024)"},"properties":{"noteIndex":0},"schema":"https://github.com/citation-style-language/schema/raw/master/csl-citation.json"}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(Pusvita 2024)</w:t>
      </w:r>
      <w:r w:rsidRPr="00CB3333">
        <w:rPr>
          <w:rFonts w:ascii="Adobe Garamond Pro" w:hAnsi="Adobe Garamond Pro" w:cs="Times New Roman"/>
        </w:rPr>
        <w:fldChar w:fldCharType="end"/>
      </w:r>
      <w:r w:rsidRPr="00CB3333">
        <w:rPr>
          <w:rFonts w:ascii="Adobe Garamond Pro" w:hAnsi="Adobe Garamond Pro" w:cs="Times New Roman"/>
        </w:rPr>
        <w:t xml:space="preserve">. </w:t>
      </w:r>
    </w:p>
    <w:p w14:paraId="6B0D285E" w14:textId="6BA6FAB0" w:rsidR="00CB3333" w:rsidRPr="00EA4EC7" w:rsidRDefault="00CB3333" w:rsidP="002544F2">
      <w:pPr>
        <w:spacing w:line="360" w:lineRule="auto"/>
        <w:ind w:firstLine="720"/>
        <w:jc w:val="both"/>
        <w:rPr>
          <w:rFonts w:ascii="Adobe Garamond Pro" w:hAnsi="Adobe Garamond Pro" w:cs="Times New Roman"/>
        </w:rPr>
      </w:pPr>
      <w:r w:rsidRPr="00CB3333">
        <w:rPr>
          <w:rFonts w:ascii="Adobe Garamond Pro" w:hAnsi="Adobe Garamond Pro" w:cs="Times New Roman"/>
        </w:rPr>
        <w:t xml:space="preserve">In the context of the Sinar Baru amplang business, Payback Period (PP) Help business owners determine the speed of return on capital spent to purchase equipment, raw materials, and initial promotional costs. The shorter the payback period, the faster the capital can be recovered and the less financial risk the investor bears </w:t>
      </w:r>
      <w:r w:rsidRPr="00CB3333">
        <w:rPr>
          <w:rFonts w:ascii="Adobe Garamond Pro" w:hAnsi="Adobe Garamond Pro" w:cs="Times New Roman"/>
          <w:b/>
        </w:rPr>
        <w:fldChar w:fldCharType="begin" w:fldLock="1"/>
      </w:r>
      <w:r w:rsidR="00C40B61">
        <w:rPr>
          <w:rFonts w:ascii="Adobe Garamond Pro" w:hAnsi="Adobe Garamond Pro" w:cs="Times New Roman"/>
        </w:rPr>
        <w:instrText>ADDIN CSL_CITATION {"citationItems":[{"id":"ITEM-1","itemData":{"DOI":"10.21608/pshj.2022.250026","abstract":"Penelitian ini dilakukan di objek wisata kuliner tepian Danau Ranau Kabupaten Ogan Komering Ulu Selatan. Tujuan dalam penelitian ini adalah menganalisis kelayakan finansial kuliner agrowisata menggunakan perhitungan Net Present Value (NPV), Metode Annual Equivalent (AE), Metode Internal Rate of Return (IRR), Metode Benefit Cost Ratio (BCR) dan Metode Payback Period (PBP).","author":[{"dropping-particle":"","family":"Pusvita","given":"L. Andrean; Putri Ayu Ogari; Ema","non-dropping-particle":"","parse-names":false,"suffix":""}],"container-title":"Jurnal Ilmiah Mahasiswa AGROINFO GALUH","id":"ITEM-1","issue":"1","issued":{"date-parts":[["2024"]]},"page":"998-1009","title":"Analisis Kelayakan Finansial Kuliner Agrowisata Tepian Danau Ranau Kabupaten Ogan Komering Ulu Selatan","type":"article-journal","volume":"11"},"uris":["http://www.mendeley.com/documents/?uuid=d4161ffa-3e9b-46b0-a0e9-ece1d2bc5294","http://www.mendeley.com/documents/?uuid=9b65d2d8-927c-4653-8f1b-ee3e076653f5","http://www.mendeley.com/documents/?uuid=1d7f74e1-6411-4789-a208-6b9bd3d9ff59"]}],"mendeley":{"formattedCitation":"(Pusvita 2024)","plainTextFormattedCitation":"(Pusvita 2024)","previouslyFormattedCitation":"(Pusvita 2024)"},"properties":{"noteIndex":0},"schema":"https://github.com/citation-style-language/schema/raw/master/csl-citation.json"}</w:instrText>
      </w:r>
      <w:r w:rsidRPr="00CB3333">
        <w:rPr>
          <w:rFonts w:ascii="Adobe Garamond Pro" w:hAnsi="Adobe Garamond Pro" w:cs="Times New Roman"/>
          <w:b/>
        </w:rPr>
        <w:fldChar w:fldCharType="separate"/>
      </w:r>
      <w:r w:rsidR="00C40B61" w:rsidRPr="00C40B61">
        <w:rPr>
          <w:rFonts w:ascii="Adobe Garamond Pro" w:hAnsi="Adobe Garamond Pro" w:cs="Times New Roman"/>
          <w:noProof/>
        </w:rPr>
        <w:t>(Pusvita 2024)</w:t>
      </w:r>
      <w:r w:rsidRPr="00CB3333">
        <w:rPr>
          <w:rFonts w:ascii="Adobe Garamond Pro" w:hAnsi="Adobe Garamond Pro" w:cs="Times New Roman"/>
          <w:b/>
        </w:rPr>
        <w:fldChar w:fldCharType="end"/>
      </w:r>
      <w:r w:rsidRPr="00CB3333">
        <w:rPr>
          <w:rFonts w:ascii="Adobe Garamond Pro" w:hAnsi="Adobe Garamond Pro" w:cs="Times New Roman"/>
        </w:rPr>
        <w:t>.</w:t>
      </w:r>
    </w:p>
    <w:p w14:paraId="578B0C13" w14:textId="7043908B" w:rsidR="00CB3333" w:rsidRPr="00CB3333" w:rsidRDefault="00CB3333" w:rsidP="00540B9F">
      <w:pPr>
        <w:pStyle w:val="EkomabisJudulSub2"/>
        <w:numPr>
          <w:ilvl w:val="0"/>
          <w:numId w:val="0"/>
        </w:numPr>
        <w:spacing w:after="160" w:line="360" w:lineRule="auto"/>
        <w:rPr>
          <w:rFonts w:ascii="Adobe Garamond Pro" w:hAnsi="Adobe Garamond Pro" w:cs="Times New Roman"/>
          <w:b w:val="0"/>
          <w:sz w:val="22"/>
        </w:rPr>
      </w:pPr>
      <w:r w:rsidRPr="00CB3333">
        <w:rPr>
          <w:rFonts w:ascii="Adobe Garamond Pro" w:hAnsi="Adobe Garamond Pro" w:cs="Times New Roman"/>
          <w:b w:val="0"/>
          <w:bCs/>
          <w:sz w:val="22"/>
        </w:rPr>
        <w:t>Formula:</w:t>
      </w:r>
    </w:p>
    <w:p w14:paraId="774204F9" w14:textId="77777777" w:rsidR="00CB3333" w:rsidRDefault="00CB3333" w:rsidP="00540B9F">
      <w:pPr>
        <w:spacing w:line="360" w:lineRule="auto"/>
        <w:jc w:val="both"/>
        <w:rPr>
          <w:rFonts w:ascii="Adobe Garamond Pro" w:hAnsi="Adobe Garamond Pro" w:cs="Times New Roman"/>
        </w:rPr>
      </w:pPr>
      <m:oMathPara>
        <m:oMath>
          <m:r>
            <m:rPr>
              <m:sty m:val="p"/>
            </m:rPr>
            <w:rPr>
              <w:rFonts w:ascii="Cambria Math" w:hAnsi="Cambria Math" w:cs="Times New Roman"/>
            </w:rPr>
            <m:t>Payback (month)=</m:t>
          </m:r>
          <m:f>
            <m:fPr>
              <m:ctrlPr>
                <w:rPr>
                  <w:rFonts w:ascii="Cambria Math" w:hAnsi="Cambria Math" w:cs="Times New Roman"/>
                </w:rPr>
              </m:ctrlPr>
            </m:fPr>
            <m:num>
              <m:r>
                <m:rPr>
                  <m:sty m:val="p"/>
                </m:rPr>
                <w:rPr>
                  <w:rFonts w:ascii="Cambria Math" w:hAnsi="Cambria Math" w:cs="Times New Roman"/>
                </w:rPr>
                <m:t>Initial Invesment</m:t>
              </m:r>
            </m:num>
            <m:den>
              <m:r>
                <m:rPr>
                  <m:sty m:val="p"/>
                </m:rPr>
                <w:rPr>
                  <w:rFonts w:ascii="Cambria Math" w:hAnsi="Cambria Math" w:cs="Times New Roman"/>
                </w:rPr>
                <m:t>Net Profit per Month</m:t>
              </m:r>
            </m:den>
          </m:f>
        </m:oMath>
      </m:oMathPara>
    </w:p>
    <w:p w14:paraId="34F52C64" w14:textId="1345C923" w:rsidR="00CB3333" w:rsidRPr="00CB3333" w:rsidRDefault="00CB3333" w:rsidP="00540B9F">
      <w:pPr>
        <w:spacing w:line="360" w:lineRule="auto"/>
        <w:jc w:val="both"/>
        <w:rPr>
          <w:rFonts w:ascii="Adobe Garamond Pro" w:hAnsi="Adobe Garamond Pro" w:cs="Times New Roman"/>
        </w:rPr>
      </w:pPr>
      <w:r w:rsidRPr="00CB3333">
        <w:rPr>
          <w:rFonts w:ascii="Adobe Garamond Pro" w:hAnsi="Adobe Garamond Pro" w:cs="Times New Roman"/>
        </w:rPr>
        <w:t>The interpretation is that if the payback period (PP) is shorter than the business life, then the investment is considered feasible.</w:t>
      </w:r>
    </w:p>
    <w:p w14:paraId="7E0CA304" w14:textId="6885EEE5" w:rsidR="00CB3333" w:rsidRPr="00CB3333" w:rsidRDefault="00CB3333" w:rsidP="002544F2">
      <w:pPr>
        <w:spacing w:line="360" w:lineRule="auto"/>
        <w:ind w:firstLine="720"/>
        <w:jc w:val="both"/>
        <w:rPr>
          <w:rFonts w:ascii="Adobe Garamond Pro" w:hAnsi="Adobe Garamond Pro" w:cs="Times New Roman"/>
        </w:rPr>
      </w:pPr>
      <w:r w:rsidRPr="00CB3333">
        <w:rPr>
          <w:rFonts w:ascii="Adobe Garamond Pro" w:hAnsi="Adobe Garamond Pro" w:cs="Times New Roman"/>
        </w:rPr>
        <w:t xml:space="preserve">Break-Even Point (BEP) is a break-even point where total revenue is equal to total costs incurred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{"citationItems":[{"id":"ITEM-1","itemData":{"ISBN":"9789896540821","author":[{"dropping-particle":"","family":"Brastoro","given":"","non-dropping-particle":"","parse-names":false,"suffix":""}],"container-title":"Jurnal Ekonomi Perusahaan","id":"ITEM-1","issue":"2","issued":{"date-parts":[["2020"]]},"page":"1-9","title":"Aspek Bisnis Usaha Toko Roti Di Jakarta","type":"article-journal","volume":"2"},"uris":["http://www.mendeley.com/documents/?uuid=a2492cb2-189f-452d-a9a6-7b1e4ff9b58d","http://www.mendeley.com/documents/?uuid=427d5e95-e74b-4428-a922-c88661de68cf","http://www.mendeley.com/documents/?uuid=af5dc989-4593-4ec5-bb6e-36bec4c392a1"]}],"mendeley":{"formattedCitation":"(Brastoro 2020)","plainTextFormattedCitation":"(Brastoro 2020)","previouslyFormattedCitation":"(Brastoro 2020)"},"properties":{"noteIndex":0},"schema":"https://github.com/citation-style-language/schema/raw/master/csl-citation.json"}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(Brastoro 2020)</w:t>
      </w:r>
      <w:r w:rsidRPr="00CB3333">
        <w:rPr>
          <w:rFonts w:ascii="Adobe Garamond Pro" w:hAnsi="Adobe Garamond Pro" w:cs="Times New Roman"/>
        </w:rPr>
        <w:fldChar w:fldCharType="end"/>
      </w:r>
      <w:r w:rsidRPr="00CB3333">
        <w:rPr>
          <w:rFonts w:ascii="Adobe Garamond Pro" w:hAnsi="Adobe Garamond Pro" w:cs="Times New Roman"/>
        </w:rPr>
        <w:t xml:space="preserve">. BEP analysis is important for culinary business actors because it helps in determining the minimum number of products that must be sold or the turnover that must be achieved so as not to suffer losses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{"citationItems":[{"id":"ITEM-1","itemData":{"author":[{"dropping-particle":"","family":"Taufik","given":"RR Kurniawan; M Putri; M Safira; DA Fransiska; I","non-dropping-particle":"","parse-names":false,"suffix":""}],"container-title":"… International Seminar of …","id":"ITEM-1","issued":{"date-parts":[["2023"]]},"page":"1217-1221","title":"Business Feasibility Analysis in the Establishment Ofa Cafe","type":"article-journal","volume":"4"},"uris":["http://www.mendeley.com/documents/?uuid=43ace77b-d7c2-4fb3-ac98-5e5e7a9dc8a5","http://www.mendeley.com/documents/?uuid=d9b1d739-5f61-4a73-a7d8-8503c0e1af59","http://www.mendeley.com/documents/?uuid=9b3195de-e16e-43ae-8994-c662640d7120"]}],"mendeley":{"formattedCitation":"(Taufik 2023)","plainTextFormattedCitation":"(Taufik 2023)","previouslyFormattedCitation":"(Taufik 2023)"},"properties":{"noteIndex":0},"schema":"https://github.com/citation-style-language/schema/raw/master/csl-citation.json"}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(Taufik 2023)</w:t>
      </w:r>
      <w:r w:rsidRPr="00CB3333">
        <w:rPr>
          <w:rFonts w:ascii="Adobe Garamond Pro" w:hAnsi="Adobe Garamond Pro" w:cs="Times New Roman"/>
        </w:rPr>
        <w:fldChar w:fldCharType="end"/>
      </w:r>
      <w:r w:rsidRPr="00CB3333">
        <w:rPr>
          <w:rFonts w:ascii="Adobe Garamond Pro" w:hAnsi="Adobe Garamond Pro" w:cs="Times New Roman"/>
        </w:rPr>
        <w:t>.</w:t>
      </w:r>
    </w:p>
    <w:p w14:paraId="1BD7BC9C" w14:textId="402D8425" w:rsidR="00CB3333" w:rsidRDefault="00CB3333" w:rsidP="00540B9F">
      <w:pPr>
        <w:spacing w:line="360" w:lineRule="auto"/>
        <w:jc w:val="both"/>
        <w:rPr>
          <w:rFonts w:ascii="Adobe Garamond Pro" w:hAnsi="Adobe Garamond Pro" w:cs="Times New Roman"/>
        </w:rPr>
      </w:pPr>
      <w:r w:rsidRPr="00CB3333">
        <w:rPr>
          <w:rFonts w:ascii="Adobe Garamond Pro" w:hAnsi="Adobe Garamond Pro" w:cs="Times New Roman"/>
        </w:rPr>
        <w:lastRenderedPageBreak/>
        <w:t xml:space="preserve">In the Sinar Baru amplang business, BEP is used to determine the sales volume needed so that costs remain (fixed cost) and variable costs (variable cost) can be covered. By calculating BEP, business actors can realistically plan price strategies and sales targets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{"citationItems":[{"id":"ITEM-1","itemData":{"ISBN":"9789896540821","author":[{"dropping-particle":"","family":"Brastoro","given":"","non-dropping-particle":"","parse-names":false,"suffix":""}],"container-title":"Jurnal Ekonomi Perusahaan","id":"ITEM-1","issue":"2","issued":{"date-parts":[["2020"]]},"page":"1-9","title":"Aspek Bisnis Usaha Toko Roti Di Jakarta","type":"article-journal","volume":"2"},"uris":["http://www.mendeley.com/documents/?uuid=af5dc989-4593-4ec5-bb6e-36bec4c392a1","http://www.mendeley.com/documents/?uuid=427d5e95-e74b-4428-a922-c88661de68cf","http://www.mendeley.com/documents/?uuid=a2492cb2-189f-452d-a9a6-7b1e4ff9b58d"]}],"mendeley":{"formattedCitation":"(Brastoro 2020)","plainTextFormattedCitation":"(Brastoro 2020)","previouslyFormattedCitation":"(Brastoro 2020)"},"properties":{"noteIndex":0},"schema":"https://github.com/citation-style-language/schema/raw/master/csl-citation.json"}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(Brastoro 2020)</w:t>
      </w:r>
      <w:r w:rsidRPr="00CB3333">
        <w:rPr>
          <w:rFonts w:ascii="Adobe Garamond Pro" w:hAnsi="Adobe Garamond Pro" w:cs="Times New Roman"/>
        </w:rPr>
        <w:fldChar w:fldCharType="end"/>
      </w:r>
      <w:r w:rsidRPr="00CB3333">
        <w:rPr>
          <w:rFonts w:ascii="Adobe Garamond Pro" w:hAnsi="Adobe Garamond Pro" w:cs="Times New Roman"/>
        </w:rPr>
        <w:t>.</w:t>
      </w:r>
    </w:p>
    <w:p w14:paraId="79D8BAAE" w14:textId="5149EB61" w:rsidR="00CB3333" w:rsidRPr="00CB3333" w:rsidRDefault="00CB3333" w:rsidP="00540B9F">
      <w:pPr>
        <w:spacing w:line="360" w:lineRule="auto"/>
        <w:jc w:val="both"/>
        <w:rPr>
          <w:rFonts w:ascii="Adobe Garamond Pro" w:hAnsi="Adobe Garamond Pro" w:cs="Times New Roman"/>
        </w:rPr>
      </w:pPr>
      <w:r w:rsidRPr="00CB3333">
        <w:rPr>
          <w:rFonts w:ascii="Adobe Garamond Pro" w:hAnsi="Adobe Garamond Pro" w:cs="Times New Roman"/>
        </w:rPr>
        <w:t>Formula:</w:t>
      </w:r>
    </w:p>
    <w:p w14:paraId="0A7E9C6D" w14:textId="77777777" w:rsidR="00CB3333" w:rsidRPr="00CB3333" w:rsidRDefault="00000000" w:rsidP="00540B9F">
      <w:pPr>
        <w:spacing w:line="360" w:lineRule="auto"/>
        <w:jc w:val="both"/>
        <w:rPr>
          <w:rFonts w:ascii="Adobe Garamond Pro" w:hAnsi="Adobe Garamond Pro" w:cs="Times New Roman"/>
        </w:rPr>
      </w:pPr>
      <m:oMathPara>
        <m:oMath>
          <m:sSub>
            <m:sSubPr>
              <m:ctrlPr>
                <w:rPr>
                  <w:rFonts w:ascii="Cambria Math" w:hAnsi="Cambria Math" w:cs="Times New Roman"/>
                </w:rPr>
              </m:ctrlPr>
            </m:sSubPr>
            <m:e>
              <m:r>
                <m:rPr>
                  <m:sty m:val="p"/>
                </m:rPr>
                <w:rPr>
                  <w:rFonts w:ascii="Cambria Math" w:hAnsi="Cambria Math" w:cs="Times New Roman"/>
                </w:rPr>
                <m:t>BEP</m:t>
              </m:r>
            </m:e>
            <m:sub>
              <m:r>
                <m:rPr>
                  <m:sty m:val="p"/>
                </m:rPr>
                <w:rPr>
                  <w:rFonts w:ascii="Cambria Math" w:hAnsi="Cambria Math" w:cs="Times New Roman"/>
                </w:rPr>
                <m:t>unit</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FC</m:t>
              </m:r>
            </m:num>
            <m:den>
              <m:r>
                <m:rPr>
                  <m:sty m:val="p"/>
                </m:rPr>
                <w:rPr>
                  <w:rFonts w:ascii="Cambria Math" w:hAnsi="Cambria Math" w:cs="Times New Roman"/>
                </w:rPr>
                <m:t>P-VC</m:t>
              </m:r>
            </m:den>
          </m:f>
        </m:oMath>
      </m:oMathPara>
    </w:p>
    <w:p w14:paraId="3643B4C6" w14:textId="77777777" w:rsidR="00CB3333" w:rsidRPr="00CB3333" w:rsidRDefault="00000000" w:rsidP="00540B9F">
      <w:pPr>
        <w:spacing w:line="360" w:lineRule="auto"/>
        <w:jc w:val="both"/>
        <w:rPr>
          <w:rFonts w:ascii="Adobe Garamond Pro" w:hAnsi="Adobe Garamond Pro" w:cs="Times New Roman"/>
        </w:rPr>
      </w:pPr>
      <m:oMathPara>
        <m:oMath>
          <m:sSub>
            <m:sSubPr>
              <m:ctrlPr>
                <w:rPr>
                  <w:rFonts w:ascii="Cambria Math" w:hAnsi="Cambria Math" w:cs="Times New Roman"/>
                </w:rPr>
              </m:ctrlPr>
            </m:sSubPr>
            <m:e>
              <m:r>
                <m:rPr>
                  <m:sty m:val="p"/>
                </m:rPr>
                <w:rPr>
                  <w:rFonts w:ascii="Cambria Math" w:hAnsi="Cambria Math" w:cs="Times New Roman"/>
                </w:rPr>
                <m:t>BEP</m:t>
              </m:r>
            </m:e>
            <m:sub>
              <m:r>
                <m:rPr>
                  <m:sty m:val="p"/>
                </m:rPr>
                <w:rPr>
                  <w:rFonts w:ascii="Cambria Math" w:hAnsi="Cambria Math" w:cs="Times New Roman"/>
                </w:rPr>
                <m:t>Rupiah</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FC</m:t>
              </m:r>
            </m:num>
            <m:den>
              <m:r>
                <m:rPr>
                  <m:sty m:val="p"/>
                </m:rPr>
                <w:rPr>
                  <w:rFonts w:ascii="Cambria Math" w:hAnsi="Cambria Math" w:cs="Times New Roman"/>
                </w:rPr>
                <m:t>1-</m:t>
              </m:r>
              <m:f>
                <m:fPr>
                  <m:ctrlPr>
                    <w:rPr>
                      <w:rFonts w:ascii="Cambria Math" w:hAnsi="Cambria Math" w:cs="Times New Roman"/>
                    </w:rPr>
                  </m:ctrlPr>
                </m:fPr>
                <m:num>
                  <m:r>
                    <m:rPr>
                      <m:sty m:val="p"/>
                    </m:rPr>
                    <w:rPr>
                      <w:rFonts w:ascii="Cambria Math" w:hAnsi="Cambria Math" w:cs="Times New Roman"/>
                    </w:rPr>
                    <m:t>Contribution</m:t>
                  </m:r>
                </m:num>
                <m:den>
                  <m:r>
                    <m:rPr>
                      <m:sty m:val="p"/>
                    </m:rPr>
                    <w:rPr>
                      <w:rFonts w:ascii="Cambria Math" w:hAnsi="Cambria Math" w:cs="Times New Roman"/>
                    </w:rPr>
                    <m:t>P</m:t>
                  </m:r>
                </m:den>
              </m:f>
            </m:den>
          </m:f>
        </m:oMath>
      </m:oMathPara>
    </w:p>
    <w:p w14:paraId="576218AA" w14:textId="77777777" w:rsidR="00540B9F" w:rsidRDefault="00CB3333" w:rsidP="00540B9F">
      <w:pPr>
        <w:spacing w:line="360" w:lineRule="auto"/>
        <w:jc w:val="both"/>
        <w:rPr>
          <w:rFonts w:ascii="Adobe Garamond Pro" w:hAnsi="Adobe Garamond Pro" w:cs="Times New Roman"/>
        </w:rPr>
      </w:pPr>
      <w:r w:rsidRPr="00CB3333">
        <w:rPr>
          <w:rFonts w:ascii="Adobe Garamond Pro" w:hAnsi="Adobe Garamond Pro" w:cs="Times New Roman"/>
        </w:rPr>
        <w:t>Information:</w:t>
      </w:r>
    </w:p>
    <w:p w14:paraId="2CC0183B" w14:textId="762A7F49" w:rsidR="00CB3333" w:rsidRPr="00CB3333" w:rsidRDefault="00CB3333" w:rsidP="00540B9F">
      <w:pPr>
        <w:spacing w:line="360" w:lineRule="auto"/>
        <w:jc w:val="both"/>
        <w:rPr>
          <w:rFonts w:ascii="Adobe Garamond Pro" w:hAnsi="Adobe Garamond Pro" w:cs="Times New Roman"/>
        </w:rPr>
      </w:pPr>
      <w:r w:rsidRPr="00CB3333">
        <w:rPr>
          <w:rFonts w:ascii="Adobe Garamond Pro" w:hAnsi="Adobe Garamond Pro" w:cs="Times New Roman"/>
        </w:rPr>
        <w:t>FC</w:t>
      </w:r>
      <w:r w:rsidRPr="00CB3333">
        <w:rPr>
          <w:rFonts w:ascii="Adobe Garamond Pro" w:hAnsi="Adobe Garamond Pro" w:cs="Times New Roman"/>
        </w:rPr>
        <w:tab/>
        <w:t>= fixed costs</w:t>
      </w:r>
    </w:p>
    <w:p w14:paraId="606E5C29" w14:textId="77777777" w:rsidR="00CB3333" w:rsidRPr="00CB3333" w:rsidRDefault="00CB3333" w:rsidP="00540B9F">
      <w:pPr>
        <w:tabs>
          <w:tab w:val="left" w:pos="426"/>
        </w:tabs>
        <w:spacing w:line="360" w:lineRule="auto"/>
        <w:jc w:val="both"/>
        <w:rPr>
          <w:rFonts w:ascii="Adobe Garamond Pro" w:hAnsi="Adobe Garamond Pro" w:cs="Times New Roman"/>
        </w:rPr>
      </w:pPr>
      <w:r w:rsidRPr="00CB3333">
        <w:rPr>
          <w:rFonts w:ascii="Adobe Garamond Pro" w:hAnsi="Adobe Garamond Pro" w:cs="Times New Roman"/>
        </w:rPr>
        <w:t>VC</w:t>
      </w:r>
      <w:r w:rsidRPr="00CB3333">
        <w:rPr>
          <w:rFonts w:ascii="Adobe Garamond Pro" w:hAnsi="Adobe Garamond Pro" w:cs="Times New Roman"/>
        </w:rPr>
        <w:tab/>
        <w:t>= variable cost per unit</w:t>
      </w:r>
    </w:p>
    <w:p w14:paraId="17557FF9" w14:textId="24DC34F0" w:rsidR="00CB3333" w:rsidRPr="00CB3333" w:rsidRDefault="00CB3333" w:rsidP="00540B9F">
      <w:pPr>
        <w:tabs>
          <w:tab w:val="left" w:pos="426"/>
        </w:tabs>
        <w:spacing w:line="360" w:lineRule="auto"/>
        <w:jc w:val="both"/>
        <w:rPr>
          <w:rFonts w:ascii="Adobe Garamond Pro" w:hAnsi="Adobe Garamond Pro" w:cs="Times New Roman"/>
        </w:rPr>
      </w:pPr>
      <w:r w:rsidRPr="00CB3333">
        <w:rPr>
          <w:rFonts w:ascii="Adobe Garamond Pro" w:hAnsi="Adobe Garamond Pro" w:cs="Times New Roman"/>
        </w:rPr>
        <w:t>P</w:t>
      </w:r>
      <w:r w:rsidRPr="00CB3333">
        <w:rPr>
          <w:rFonts w:ascii="Adobe Garamond Pro" w:hAnsi="Adobe Garamond Pro" w:cs="Times New Roman"/>
        </w:rPr>
        <w:tab/>
        <w:t>= selling price per unit</w:t>
      </w:r>
    </w:p>
    <w:p w14:paraId="16CE6B2D" w14:textId="77777777" w:rsidR="00540B9F" w:rsidRDefault="00CB3333" w:rsidP="002544F2">
      <w:pPr>
        <w:spacing w:line="360" w:lineRule="auto"/>
        <w:ind w:firstLine="720"/>
        <w:jc w:val="both"/>
        <w:rPr>
          <w:rFonts w:ascii="Adobe Garamond Pro" w:hAnsi="Adobe Garamond Pro" w:cs="Times New Roman"/>
        </w:rPr>
      </w:pPr>
      <w:r w:rsidRPr="00CB3333">
        <w:rPr>
          <w:rFonts w:ascii="Adobe Garamond Pro" w:hAnsi="Adobe Garamond Pro" w:cs="Times New Roman"/>
        </w:rPr>
        <w:t>The interpretation is that if the actual sales are greater than the value of BEP, then the business is declared profitable, because the income obtained is able to cover all fixed costs and variable costs, and even generate profits. On the other hand, if the actual sales are smaller than the BEP, then the business is considered a loss, because the income received is not enough to cover all operational costs that have been incurred.</w:t>
      </w:r>
    </w:p>
    <w:p w14:paraId="3B5C808F" w14:textId="28AA4ABE" w:rsidR="00CB3333" w:rsidRPr="00CB3333" w:rsidRDefault="00CB3333" w:rsidP="002544F2">
      <w:pPr>
        <w:spacing w:line="360" w:lineRule="auto"/>
        <w:ind w:firstLine="720"/>
        <w:jc w:val="both"/>
        <w:rPr>
          <w:rFonts w:ascii="Adobe Garamond Pro" w:hAnsi="Adobe Garamond Pro" w:cs="Times New Roman"/>
        </w:rPr>
      </w:pPr>
      <w:r w:rsidRPr="00CB3333">
        <w:rPr>
          <w:rFonts w:ascii="Adobe Garamond Pro" w:hAnsi="Adobe Garamond Pro" w:cs="Times New Roman"/>
        </w:rPr>
        <w:t xml:space="preserve">Research data was collected through in-depth interviews (interview) with the owners and employees of the Amplang business to obtain in-depth information on management, marketing, and technical aspects of production. Interviews are conducted in a structured manner and recorded to ensure data accuracy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Sekaran","given":"Uma","non-dropping-particle":"","parse-names":false,"suffix":""},{"dropping-particle":"","family":"Bougie","given":"","non-dropping-particle":"","parse-names":false,"suffix":""}],"container-title":"Academic Journal BangkokThonburi University","id":"ITEM-1","issue":"2","issued":{"date-parts":[["2016"]]},"page":"203-204","title":"aekies,+Journal+manager,+203-206","type":"article-journal","volume":"2"},"uris":["http://www.mendeley.com/documents/?uuid=c7f2ed96-bdc8-4003-8d8e-a2cd78061d62","http://www.mendeley.com/documents/?uuid=f2006c53-6c76-43fe-9f92-01d3f7540ecc","http://www.mendeley.com/documents/?uuid=6356d8d8-9b19-4c54-ba43-85e6ce150da9"]},{"id":"ITEM-2","itemData":{"DOI":"10.33509/admit.v1i2.2437","abstract":"Pembukaan cabang baru merupakan salah satu upaya untuk mengembangkan suatu usaha dan meningkatkan pangsa pasar lebih luas, namun langkah dalam pembukaan cabang baru juga perlu dipersiapkan dengan matang agar suatu perusahaan dapat terhindar dari berbagai macam resiko kerugian. Salah satu cara agar terhindar dari resiko kerugian ialah dengan melakukan studi kelayakan usaha, studi kelayakan usaha adalah metode analisis untuk menentukan kelayakan suatu usaha agar dapat terhindar dari berbagai ancaman dan resiko yang mungkin bisa terjadi di masa yang akang datang. Penelitian ini dilakukan pada PT Talenta International Tourism Makassar, penelitian ini menggunakan metode kualitatif desktriptif untuk menjelaskan hasil secara deskriptif. Penelitian dilaksanakan pada bulan maret 2023 hingga Juli 2023, sumber data diperoleh dari data primer dan data sekunder. Teknik pengumpulan data diperoleh dari wawancara dan telaah dokumen. Aspek yang akan ditinjau dalam penelitian ini yakni Aspek Umum dan Manajemen, Aspek Pasar dan Pemasaran, Aspek Teknik, dan Aspek Keuangan.","author":[{"dropping-particle":"","family":"Hartanto Ismail","given":"Adrian","non-dropping-particle":"","parse-names":false,"suffix":""},{"dropping-particle":"","family":"Rahmat","given":"Rahmat","non-dropping-particle":"","parse-names":false,"suffix":""}],"container-title":"Admit: Jurnal Administrasi Terapan","id":"ITEM-2","issue":"2","issued":{"date-parts":[["2023"]]},"page":"223-240","title":"Studi Kelayakan Bisnis Untuk Pengembangan Usaha Pada Pt Talenta International Tourism","type":"article-journal","volume":"1"},"uris":["http://www.mendeley.com/documents/?uuid=f35deade-31cf-4309-857c-f517cadc08fd"]}],"mendeley":{"formattedCitation":"(Hartanto Ismail and Rahmat 2023; Sekaran and Bougie 2016)","plainTextFormattedCitation":"(Hartanto Ismail and Rahmat 2023; Sekaran and Bougie 2016)","previouslyFormattedCitation":"(Hartanto Ismail and Rahmat 2023; Sekaran and Bougie 2016)"},"properties":{"noteIndex":0},"schema":"https://github.com/citation-style-language/schema/raw/master/csl-citation.json"}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(Hartanto Ismail and Rahmat 2023; Sekaran and Bougie 2016)</w:t>
      </w:r>
      <w:r w:rsidRPr="00CB3333">
        <w:rPr>
          <w:rFonts w:ascii="Adobe Garamond Pro" w:hAnsi="Adobe Garamond Pro" w:cs="Times New Roman"/>
        </w:rPr>
        <w:fldChar w:fldCharType="end"/>
      </w:r>
      <w:r w:rsidRPr="00CB3333">
        <w:rPr>
          <w:rFonts w:ascii="Adobe Garamond Pro" w:hAnsi="Adobe Garamond Pro" w:cs="Times New Roman"/>
        </w:rPr>
        <w:t xml:space="preserve">. In addition, direct observation is carried out at the production site to document the production process of amplang from raw materials to packaging, as well as observation of the condition of the production site and its supporting facilities </w:t>
      </w:r>
      <w:r w:rsidRPr="00CB3333">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{"citationItems":[{"id":"ITEM-1","itemData":{"ISBN":"9786234591873","abstract":"Penelitian ini membahas metode pengumpulan data dalam pendekatan kualitatif, yang menjadi aspek krusial dalam memperoleh informasi mendalam terkait fenomena sosial. Masalah utama dalam penelitian ini adalah bagaimana cara memperoleh data yang valid dan relevan dalam penelitian kualitatif. Tujuan dari penulisan ini adalah untuk menjelaskan berbagai teknik pengumpulan data kualitatif, seperti wawancara, observasi, dan dokumentasi, serta kelebihan dan kekurangan masing-masing metode. Metode yang digunakan dalam penulisan ini adalah studi pustaka dengan pendekatan deskriptif kualitatif. Hasil pembahasan menunjukkan bahwa pemilihan metode pengumpulan data harus disesuaikan dengan fokus penelitian, kondisi lapangan, serta hubungan antara peneliti dan subjek. Kesimpulan dari makalah ini menegaskan pentingnya ketepatan metode pengumpulan data dalam menjamin kualitas dan keabsahan data penelitian kualitatif.","author":[{"dropping-particle":"","family":"Putri","given":"Heni Julaika","non-dropping-particle":"","parse-names":false,"suffix":""},{"dropping-particle":"","family":"Murhayati","given":"Sri","non-dropping-particle":"","parse-names":false,"suffix":""}],"container-title":"Jurnal Pendidikan Tambusa","id":"ITEM-1","issue":"01","issued":{"date-parts":[["2022"]]},"page":"1-6","title":"Metode Pengumpulan Data Kualitatif","type":"article-journal","volume":"9"},"uris":["http://www.mendeley.com/documents/?uuid=8ba9c002-cceb-44eb-ac90-0ae7974ad298","http://www.mendeley.com/documents/?uuid=a8beb438-905a-4707-9c32-046a78042969","http://www.mendeley.com/documents/?uuid=2f9fb6b6-9144-4e18-b379-620adbd28d66"]}],"mendeley":{"formattedCitation":"(Putri and Murhayati 2022)","plainTextFormattedCitation":"(Putri and Murhayati 2022)","previouslyFormattedCitation":"(Putri and Murhayati 2022)"},"properties":{"noteIndex":0},"schema":"https://github.com/citation-style-language/schema/raw/master/csl-citation.json"}</w:instrText>
      </w:r>
      <w:r w:rsidRPr="00CB3333">
        <w:rPr>
          <w:rFonts w:ascii="Adobe Garamond Pro" w:hAnsi="Adobe Garamond Pro" w:cs="Times New Roman"/>
        </w:rPr>
        <w:fldChar w:fldCharType="separate"/>
      </w:r>
      <w:r w:rsidR="00C40B61" w:rsidRPr="00C40B61">
        <w:rPr>
          <w:rFonts w:ascii="Adobe Garamond Pro" w:hAnsi="Adobe Garamond Pro" w:cs="Times New Roman"/>
          <w:noProof/>
        </w:rPr>
        <w:t>(Putri and Murhayati 2022)</w:t>
      </w:r>
      <w:r w:rsidRPr="00CB3333">
        <w:rPr>
          <w:rFonts w:ascii="Adobe Garamond Pro" w:hAnsi="Adobe Garamond Pro" w:cs="Times New Roman"/>
        </w:rPr>
        <w:fldChar w:fldCharType="end"/>
      </w:r>
      <w:r w:rsidRPr="00CB3333">
        <w:rPr>
          <w:rFonts w:ascii="Adobe Garamond Pro" w:hAnsi="Adobe Garamond Pro" w:cs="Times New Roman"/>
        </w:rPr>
        <w:t>.</w:t>
      </w:r>
    </w:p>
    <w:p w14:paraId="735D549C" w14:textId="30F021CF" w:rsidR="00BD31BA" w:rsidRDefault="007672DE" w:rsidP="00A73294">
      <w:pPr>
        <w:pStyle w:val="ListParagraph"/>
        <w:numPr>
          <w:ilvl w:val="0"/>
          <w:numId w:val="2"/>
        </w:numPr>
        <w:suppressAutoHyphens/>
        <w:spacing w:line="360" w:lineRule="auto"/>
        <w:ind w:hanging="720"/>
        <w:contextualSpacing w:val="0"/>
        <w:jc w:val="both"/>
        <w:rPr>
          <w:rFonts w:ascii="Arial" w:hAnsi="Arial" w:cs="Arial"/>
          <w:b/>
          <w:color w:val="2E74B5" w:themeColor="accent1" w:themeShade="BF"/>
        </w:rPr>
      </w:pPr>
      <w:r w:rsidRPr="00DC3EFC">
        <w:rPr>
          <w:rFonts w:ascii="Arial" w:hAnsi="Arial" w:cs="Arial"/>
          <w:b/>
          <w:color w:val="2E74B5" w:themeColor="accent1" w:themeShade="BF"/>
        </w:rPr>
        <w:t xml:space="preserve">RESULT AND DISCUSSION </w:t>
      </w:r>
    </w:p>
    <w:p w14:paraId="76308409" w14:textId="6454B75F" w:rsidR="00540B9F" w:rsidRDefault="00BD31BA" w:rsidP="009762AE">
      <w:pPr>
        <w:pStyle w:val="EkomabisJudulSub"/>
        <w:numPr>
          <w:ilvl w:val="0"/>
          <w:numId w:val="0"/>
        </w:numPr>
        <w:spacing w:before="0" w:after="160" w:line="360" w:lineRule="auto"/>
        <w:rPr>
          <w:rFonts w:ascii="Adobe Garamond Pro" w:hAnsi="Adobe Garamond Pro"/>
          <w:b w:val="0"/>
          <w:bCs/>
          <w:sz w:val="22"/>
          <w:szCs w:val="18"/>
        </w:rPr>
      </w:pPr>
      <w:r w:rsidRPr="00BD31BA">
        <w:rPr>
          <w:rFonts w:ascii="Adobe Garamond Pro" w:hAnsi="Adobe Garamond Pro"/>
          <w:b w:val="0"/>
          <w:bCs/>
          <w:sz w:val="22"/>
          <w:szCs w:val="18"/>
        </w:rPr>
        <w:t xml:space="preserve">The production of amplang of Sinar Baru still uses the traditional method with a production capacity of 10-20 kg each time the production is carried out in a rented house as well as being the residence of the business owner. The production process includes the extraction of fresh fish, flour, eggs, and spices, dough formation, frying in hot oil, and packaging using machines hand sealer. The availability of fish raw materials is supported by subscription suppliers who help maintain price stability and raw material quality. The </w:t>
      </w:r>
      <w:r w:rsidRPr="00BD31BA">
        <w:rPr>
          <w:rFonts w:ascii="Adobe Garamond Pro" w:hAnsi="Adobe Garamond Pro"/>
          <w:b w:val="0"/>
          <w:bCs/>
          <w:sz w:val="22"/>
          <w:szCs w:val="18"/>
        </w:rPr>
        <w:lastRenderedPageBreak/>
        <w:t xml:space="preserve">production house has a simple division of areas for frying, printing, and packaging, but the production equipment is partially in need of updates to support product efficiency and quality </w:t>
      </w:r>
      <w:r w:rsidRPr="00BD31BA">
        <w:rPr>
          <w:rFonts w:ascii="Adobe Garamond Pro" w:hAnsi="Adobe Garamond Pro"/>
          <w:b w:val="0"/>
          <w:bCs/>
          <w:sz w:val="22"/>
          <w:szCs w:val="18"/>
        </w:rPr>
        <w:fldChar w:fldCharType="begin" w:fldLock="1"/>
      </w:r>
      <w:r w:rsidR="00C40B61">
        <w:rPr>
          <w:rFonts w:ascii="Adobe Garamond Pro" w:hAnsi="Adobe Garamond Pro"/>
          <w:b w:val="0"/>
          <w:bCs/>
          <w:sz w:val="22"/>
          <w:szCs w:val="18"/>
        </w:rPr>
        <w:instrText>ADDIN CSL_CITATION {"citationItems":[{"id":"ITEM-1","itemData":{"author":[{"dropping-particle":"","family":"Bambang","given":"Supomo","non-dropping-particle":"","parse-names":false,"suffix":""},{"dropping-particle":"","family":"Nur","given":"Indriantoro","non-dropping-particle":"","parse-names":false,"suffix":""}],"container-title":"Yogyakarta: Bpfe","id":"ITEM-1","issued":{"date-parts":[["2009"]]},"title":"Metodologi Penelitian Bisnis Untuk Akuntansi dan Manajemen","type":"article-journal"},"uris":["http://www.mendeley.com/documents/?uuid=96f4531f-504c-439c-9d25-2ddcb44a751e","http://www.mendeley.com/documents/?uuid=7b36146c-7610-4ee1-8730-5dbb84ad0878"]}],"mendeley":{"formattedCitation":"(Bambang and Nur 2009)","plainTextFormattedCitation":"(Bambang and Nur 2009)","previouslyFormattedCitation":"(Bambang and Nur 2009)"},"properties":{"noteIndex":0},"schema":"https://github.com/citation-style-language/schema/raw/master/csl-citation.json"}</w:instrText>
      </w:r>
      <w:r w:rsidRPr="00BD31BA">
        <w:rPr>
          <w:rFonts w:ascii="Adobe Garamond Pro" w:hAnsi="Adobe Garamond Pro"/>
          <w:b w:val="0"/>
          <w:bCs/>
          <w:sz w:val="22"/>
          <w:szCs w:val="18"/>
        </w:rPr>
        <w:fldChar w:fldCharType="separate"/>
      </w:r>
      <w:r w:rsidR="00C40B61" w:rsidRPr="00C40B61">
        <w:rPr>
          <w:rFonts w:ascii="Adobe Garamond Pro" w:hAnsi="Adobe Garamond Pro"/>
          <w:b w:val="0"/>
          <w:bCs/>
          <w:noProof/>
          <w:sz w:val="22"/>
          <w:szCs w:val="18"/>
        </w:rPr>
        <w:t>(Bambang and Nur 2009)</w:t>
      </w:r>
      <w:r w:rsidRPr="00BD31BA">
        <w:rPr>
          <w:rFonts w:ascii="Adobe Garamond Pro" w:hAnsi="Adobe Garamond Pro"/>
          <w:b w:val="0"/>
          <w:bCs/>
          <w:sz w:val="22"/>
          <w:szCs w:val="18"/>
        </w:rPr>
        <w:fldChar w:fldCharType="end"/>
      </w:r>
      <w:r w:rsidRPr="00BD31BA">
        <w:rPr>
          <w:rFonts w:ascii="Adobe Garamond Pro" w:hAnsi="Adobe Garamond Pro"/>
          <w:b w:val="0"/>
          <w:bCs/>
          <w:sz w:val="22"/>
          <w:szCs w:val="18"/>
        </w:rPr>
        <w:t>.</w:t>
      </w:r>
    </w:p>
    <w:p w14:paraId="29D7C50B" w14:textId="2F08BDAF" w:rsidR="00BD31BA" w:rsidRPr="00540B9F" w:rsidRDefault="00BD31BA" w:rsidP="002544F2">
      <w:pPr>
        <w:pStyle w:val="EkomabisJudulSub"/>
        <w:numPr>
          <w:ilvl w:val="0"/>
          <w:numId w:val="0"/>
        </w:numPr>
        <w:spacing w:before="0" w:line="360" w:lineRule="auto"/>
        <w:ind w:firstLine="720"/>
        <w:rPr>
          <w:rFonts w:ascii="Adobe Garamond Pro" w:hAnsi="Adobe Garamond Pro"/>
          <w:b w:val="0"/>
          <w:bCs/>
          <w:sz w:val="22"/>
          <w:szCs w:val="18"/>
        </w:rPr>
      </w:pPr>
      <w:r w:rsidRPr="00540B9F">
        <w:rPr>
          <w:rFonts w:ascii="Adobe Garamond Pro" w:hAnsi="Adobe Garamond Pro" w:cs="Times New Roman"/>
          <w:b w:val="0"/>
          <w:bCs/>
          <w:sz w:val="22"/>
        </w:rPr>
        <w:t xml:space="preserve">This business targets the young to medium consumer market who care about the quality, taste, and halal certification of products. Consumer surveys show that there is loyalty and repeat purchases, the majority of which are made directly through the owner, both offline and via WhatsApp and influence word of mouth (WOM). Consumers appreciate the quality of distinctive tastes, the safety of halal-certified products, and BPOM so as to increase trust and potential for wider product recommendations </w:t>
      </w:r>
      <w:r w:rsidRPr="00540B9F">
        <w:rPr>
          <w:rFonts w:ascii="Adobe Garamond Pro" w:hAnsi="Adobe Garamond Pro" w:cs="Times New Roman"/>
          <w:b w:val="0"/>
          <w:bCs/>
          <w:sz w:val="22"/>
        </w:rPr>
        <w:fldChar w:fldCharType="begin" w:fldLock="1"/>
      </w:r>
      <w:r w:rsidR="00C40B61">
        <w:rPr>
          <w:rFonts w:ascii="Adobe Garamond Pro" w:hAnsi="Adobe Garamond Pro" w:cs="Times New Roman"/>
          <w:b w:val="0"/>
          <w:bCs/>
          <w:sz w:val="22"/>
        </w:rPr>
        <w:instrText>ADDIN CSL_CITATION {"citationItems":[{"id":"ITEM-1","itemData":{"ISBN":"2005031100","author":[{"dropping-particle":"","family":"Hn &amp; Solekah","given":"Lailatus Syarifah; Aslamatis; Nihayatu;","non-dropping-particle":"","parse-names":false,"suffix":""}],"container-title":"Maliki Interdisciplinary Journal (MIJ) eISSN","id":"ITEM-1","issue":"4","issued":{"date-parts":[["2024"]]},"page":"252-257","title":"Analisis studi kelayakan bisnis kerupuk amplang ikan tenggiri: Studi kasus pada UD RAR Crackers","type":"article-journal","volume":"2"},"uris":["http://www.mendeley.com/documents/?uuid=110ae075-1c3b-4817-afc1-9023f4e6505e","http://www.mendeley.com/documents/?uuid=9d9c1b81-3f53-42d7-807b-6d2e3c8db1bf"]}],"mendeley":{"formattedCitation":"(Hn &amp; Solekah 2024)","plainTextFormattedCitation":"(Hn &amp; Solekah 2024)","previouslyFormattedCitation":"(Hn &amp; Solekah 2024)"},"properties":{"noteIndex":0},"schema":"https://github.com/citation-style-language/schema/raw/master/csl-citation.json"}</w:instrText>
      </w:r>
      <w:r w:rsidRPr="00540B9F">
        <w:rPr>
          <w:rFonts w:ascii="Adobe Garamond Pro" w:hAnsi="Adobe Garamond Pro" w:cs="Times New Roman"/>
          <w:b w:val="0"/>
          <w:bCs/>
          <w:sz w:val="22"/>
        </w:rPr>
        <w:fldChar w:fldCharType="separate"/>
      </w:r>
      <w:r w:rsidR="00C40B61" w:rsidRPr="00C40B61">
        <w:rPr>
          <w:rFonts w:ascii="Adobe Garamond Pro" w:hAnsi="Adobe Garamond Pro" w:cs="Times New Roman"/>
          <w:b w:val="0"/>
          <w:bCs/>
          <w:noProof/>
          <w:sz w:val="22"/>
        </w:rPr>
        <w:t>(Hn &amp; Solekah 2024)</w:t>
      </w:r>
      <w:r w:rsidRPr="00540B9F">
        <w:rPr>
          <w:rFonts w:ascii="Adobe Garamond Pro" w:hAnsi="Adobe Garamond Pro" w:cs="Times New Roman"/>
          <w:b w:val="0"/>
          <w:bCs/>
          <w:sz w:val="22"/>
        </w:rPr>
        <w:fldChar w:fldCharType="end"/>
      </w:r>
      <w:r w:rsidRPr="00540B9F">
        <w:rPr>
          <w:rFonts w:ascii="Adobe Garamond Pro" w:hAnsi="Adobe Garamond Pro" w:cs="Times New Roman"/>
          <w:b w:val="0"/>
          <w:bCs/>
          <w:sz w:val="22"/>
        </w:rPr>
        <w:t>.</w:t>
      </w:r>
    </w:p>
    <w:p w14:paraId="364888E2" w14:textId="577D80BD" w:rsidR="00BD31BA" w:rsidRPr="00BD31BA"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t xml:space="preserve">Marketing strategies rely on social media and discounts as drivers of repeat purchases. However, similar business competition with a more digitally aggressive marketing system is a major challenge. Therefore, the development of more professional online marketing and distribution channels needs to be considered to expand market share. The products are positioned as high-quality typical souvenirs with attractive and halal packaging, so they have the potential for stable demand in the regional snack market where production and distribution are relatively concentrated </w:t>
      </w:r>
      <w:r w:rsidRPr="00BD31BA">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{"citationItems":[{"id":"ITEM-1","itemData":{"author":[{"dropping-particle":"","family":"Nurul Beauty","given":"Shafera","non-dropping-particle":"","parse-names":false,"suffix":""},{"dropping-particle":"","family":"Ema","given":"Pusvita","non-dropping-particle":"","parse-names":false,"suffix":""},{"dropping-particle":"","family":"Septianita","given":"Septianita","non-dropping-particle":"","parse-names":false,"suffix":""},{"dropping-particle":"","family":"SP","given":"M Si","non-dropping-particle":"","parse-names":false,"suffix":""}],"container-title":"Doctoral dissertation, Universitas Baturaja","id":"ITEM-1","issued":{"date-parts":[["2023"]]},"publisher":"Universitas Baturaja","title":"Pengaruh Wisata Alam Pulau Keban Agung Terhadap Perekonomian Di Kecamatan Semidang Aji Kabupaten Oku","type":"article-journal"},"uris":["http://www.mendeley.com/documents/?uuid=a79b26eb-0f4f-4c91-8225-90dc3d1366ce","http://www.mendeley.com/documents/?uuid=e326fbfc-e563-40d3-9fa8-21bc73405873"]}],"mendeley":{"formattedCitation":"(Nurul Beauty et al. 2023)","plainTextFormattedCitation":"(Nurul Beauty et al. 2023)","previouslyFormattedCitation":"(Nurul Beauty et al. 2023)"},"properties":{"noteIndex":0},"schema":"https://github.com/citation-style-language/schema/raw/master/csl-citation.json"}</w:instrText>
      </w:r>
      <w:r w:rsidRPr="00BD31BA">
        <w:rPr>
          <w:rFonts w:ascii="Adobe Garamond Pro" w:hAnsi="Adobe Garamond Pro" w:cs="Times New Roman"/>
        </w:rPr>
        <w:fldChar w:fldCharType="separate"/>
      </w:r>
      <w:r w:rsidR="00C40B61" w:rsidRPr="00C40B61">
        <w:rPr>
          <w:rFonts w:ascii="Adobe Garamond Pro" w:hAnsi="Adobe Garamond Pro" w:cs="Times New Roman"/>
          <w:noProof/>
        </w:rPr>
        <w:t>(Nurul Beauty et al. 2023)</w:t>
      </w:r>
      <w:r w:rsidRPr="00BD31BA">
        <w:rPr>
          <w:rFonts w:ascii="Adobe Garamond Pro" w:hAnsi="Adobe Garamond Pro" w:cs="Times New Roman"/>
        </w:rPr>
        <w:fldChar w:fldCharType="end"/>
      </w:r>
      <w:r w:rsidRPr="00BD31BA">
        <w:rPr>
          <w:rFonts w:ascii="Adobe Garamond Pro" w:hAnsi="Adobe Garamond Pro" w:cs="Times New Roman"/>
        </w:rPr>
        <w:t>.</w:t>
      </w:r>
    </w:p>
    <w:p w14:paraId="0CA5BE20" w14:textId="27E7FDB4" w:rsidR="00BD31BA" w:rsidRPr="00BD31BA"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t xml:space="preserve">The production process is carried out traditionally and carried out manually with simple equipment such as an 84 cm diameter pan, gas stove, and machine hand sealer. Each production costs around IDR 5,883,500 and produces 10-20 kg of amplang, depending on the fluctuation factor of raw material prices. The process includes the preparation of fresh raw materials, mixing, forming, frying by controlling the oil temperature, slicing, cooling, and packaging with simple SOPs (Company Operational Standards) that are simple but consistent so that the product is always of high quality </w:t>
      </w:r>
      <w:r w:rsidRPr="00BD31BA">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Bambang","given":"Supomo","non-dropping-particle":"","parse-names":false,"suffix":""},{"dropping-particle":"","family":"Nur","given":"Indriantoro","non-dropping-particle":"","parse-names":false,"suffix":""}],"container-title":"Yogyakarta: Bpfe","id":"ITEM-1","issued":{"date-parts":[["2009"]]},"title":"Metodologi Penelitian Bisnis Untuk Akuntansi dan Manajemen","type":"article-journal"},"uris":["http://www.mendeley.com/documents/?uuid=7b36146c-7610-4ee1-8730-5dbb84ad0878","http://www.mendeley.com/documents/?uuid=96f4531f-504c-439c-9d25-2ddcb44a751e"]}],"mendeley":{"formattedCitation":"(Bambang and Nur 2009)","plainTextFormattedCitation":"(Bambang and Nur 2009)","previouslyFormattedCitation":"(Bambang and Nur 2009)"},"properties":{"noteIndex":0},"schema":"https://github.com/citation-style-language/schema/raw/master/csl-citation.json"}</w:instrText>
      </w:r>
      <w:r w:rsidRPr="00BD31BA">
        <w:rPr>
          <w:rFonts w:ascii="Adobe Garamond Pro" w:hAnsi="Adobe Garamond Pro" w:cs="Times New Roman"/>
        </w:rPr>
        <w:fldChar w:fldCharType="separate"/>
      </w:r>
      <w:r w:rsidR="00C40B61" w:rsidRPr="00C40B61">
        <w:rPr>
          <w:rFonts w:ascii="Adobe Garamond Pro" w:hAnsi="Adobe Garamond Pro" w:cs="Times New Roman"/>
          <w:noProof/>
        </w:rPr>
        <w:t>(Bambang and Nur 2009)</w:t>
      </w:r>
      <w:r w:rsidRPr="00BD31BA">
        <w:rPr>
          <w:rFonts w:ascii="Adobe Garamond Pro" w:hAnsi="Adobe Garamond Pro" w:cs="Times New Roman"/>
        </w:rPr>
        <w:fldChar w:fldCharType="end"/>
      </w:r>
      <w:r w:rsidRPr="00BD31BA">
        <w:rPr>
          <w:rFonts w:ascii="Adobe Garamond Pro" w:hAnsi="Adobe Garamond Pro" w:cs="Times New Roman"/>
        </w:rPr>
        <w:t>.</w:t>
      </w:r>
    </w:p>
    <w:p w14:paraId="15F050A8" w14:textId="7AF99E37" w:rsidR="00BD31BA" w:rsidRPr="00BD31BA"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t xml:space="preserve">To ensure the availability of raw materials and the continuity of production, the owner plans a long-term cooperation strategy with suppliers and the management of limited stock. However, it is necessary to update production equipment and facilities as a priority so that efficiency increases and the risk of quality decline can be minimized. Production is carried out in rental homes, which provides the advantage of flexibility but limits the expansion of production capacity </w:t>
      </w:r>
      <w:r w:rsidRPr="00BD31BA">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{"citationItems":[{"id":"ITEM-1","itemData":{"DOI":"10.31000/dmj.v8i1.10509","abstract":"This study aims to determine the business feasibility of the Frustashit Store business in terms of non-financial aspects through legal aspects and market and marketing aspects and financial aspects, namely financial aspects through the criteria for using the calculation of the results of the Payback Period, Net Present Value, Internal Rate of Return and Profitability Index. This research was analyzed using qualitative methods with a form of field research. The results showed that Frustashit Store MSMEs from the legal aspect were declared still not feasible because they had not completed the license letters, the market and marketing aspects were feasible because the products were of quality, affordable prices, wide distribution coverage and promotions carried out were attractive and from the results of the financial aspects were declared feasible because the acquisition of a positive NPV value&gt; 0 of Rp 493,790,500, IRR value&gt; interest rate of 16%, Payback Period (PP) obtained &lt; investment life, namely 3 months 2 weeks, and Profability Index (PI)&gt; 1, namely 3.66%.","author":[{"dropping-particle":"","family":"Melani","given":"Syeila","non-dropping-particle":"","parse-names":false,"suffix":""},{"dropping-particle":"","family":"Elisah","given":"Elisah","non-dropping-particle":"","parse-names":false,"suffix":""},{"dropping-particle":"","family":"Maharani","given":"Sofia","non-dropping-particle":"","parse-names":false,"suffix":""},{"dropping-particle":"","family":"Devy","given":"Jagad Kusuma","non-dropping-particle":"","parse-names":false,"suffix":""},{"dropping-particle":"","family":"Widodasih","given":"RR. Wening Ken","non-dropping-particle":"","parse-names":false,"suffix":""}],"container-title":"Dynamic Management Journal","id":"ITEM-1","issue":"1","issued":{"date-parts":[["2024"]]},"page":"121","title":"Business Feasibility Study Analysis of the Frustashit Store Business in Terms of Non-Financial Aspects and Financial Aspects","type":"article-journal","volume":"8"},"uris":["http://www.mendeley.com/documents/?uuid=2c5caf81-0164-48ce-8f77-06c614866d3f","http://www.mendeley.com/documents/?uuid=2b31ed14-ddd1-410c-9c93-0c53befb03bc"]}],"mendeley":{"formattedCitation":"(Melani et al. 2024)","plainTextFormattedCitation":"(Melani et al. 2024)","previouslyFormattedCitation":"(Melani et al. 2024)"},"properties":{"noteIndex":0},"schema":"https://github.com/citation-style-language/schema/raw/master/csl-citation.json"}</w:instrText>
      </w:r>
      <w:r w:rsidRPr="00BD31BA">
        <w:rPr>
          <w:rFonts w:ascii="Adobe Garamond Pro" w:hAnsi="Adobe Garamond Pro" w:cs="Times New Roman"/>
        </w:rPr>
        <w:fldChar w:fldCharType="separate"/>
      </w:r>
      <w:r w:rsidR="00C40B61" w:rsidRPr="00C40B61">
        <w:rPr>
          <w:rFonts w:ascii="Adobe Garamond Pro" w:hAnsi="Adobe Garamond Pro" w:cs="Times New Roman"/>
          <w:noProof/>
        </w:rPr>
        <w:t>(Melani et al. 2024)</w:t>
      </w:r>
      <w:r w:rsidRPr="00BD31BA">
        <w:rPr>
          <w:rFonts w:ascii="Adobe Garamond Pro" w:hAnsi="Adobe Garamond Pro" w:cs="Times New Roman"/>
        </w:rPr>
        <w:fldChar w:fldCharType="end"/>
      </w:r>
      <w:r w:rsidRPr="00BD31BA">
        <w:rPr>
          <w:rFonts w:ascii="Adobe Garamond Pro" w:hAnsi="Adobe Garamond Pro" w:cs="Times New Roman"/>
        </w:rPr>
        <w:t>.</w:t>
      </w:r>
    </w:p>
    <w:p w14:paraId="6C5477B9" w14:textId="0C3944C1" w:rsidR="00BD31BA" w:rsidRPr="00BD31BA"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t xml:space="preserve">The operational team consists of business owners as decision-makers and two production employees who are in charge from the dough making process to packaging. All major functions such as production, quality assurance, marketing, finance, and logistics are still running simply and manually. The owner also acts as the main marketing officer, managing promotional strategies and direct sales </w:t>
      </w:r>
      <w:r w:rsidRPr="00BD31BA">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{"citationItems":[{"id":"ITEM-1","itemData":{"ISBN":"2005031100","author":[{"dropping-particle":"","family":"Hn &amp; Solekah","given":"Lailatus Syarifah; Aslamatis; Nihayatu;","non-dropping-particle":"","parse-names":false,"suffix":""}],"container-title":"Maliki Interdisciplinary Journal (MIJ) eISSN","id":"ITEM-1","issue":"4","issued":{"date-parts":[["2024"]]},"page":"252-257","title":"Analisis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Crackers","type":"article-journal","volume":"2"},"uris":["http://www.mendeley.com/documents/?uuid=9d9c1b81-3f53-42d7-807b-6d2e3c8db1bf","http://www.mendeley.com/documents/?uuid=110ae075-1c3b-4817-afc1-9023f4e6505e"]}],"mendeley":{"formattedCitation":"(Hn &amp; Solekah 2024)","plainTextFormattedCitation":"(Hn &amp; Solekah 2024)","previouslyFormattedCitation":"(Hn &amp; Solekah 2024)"},"properties":{"noteIndex":0},"schema":"https://github.com/citation-style-language/schema/raw/master/csl-citation.json"}</w:instrText>
      </w:r>
      <w:r w:rsidRPr="00BD31BA">
        <w:rPr>
          <w:rFonts w:ascii="Adobe Garamond Pro" w:hAnsi="Adobe Garamond Pro" w:cs="Times New Roman"/>
        </w:rPr>
        <w:fldChar w:fldCharType="separate"/>
      </w:r>
      <w:r w:rsidR="00C40B61" w:rsidRPr="00C40B61">
        <w:rPr>
          <w:rFonts w:ascii="Adobe Garamond Pro" w:hAnsi="Adobe Garamond Pro" w:cs="Times New Roman"/>
          <w:noProof/>
        </w:rPr>
        <w:t>(Hn &amp; Solekah 2024)</w:t>
      </w:r>
      <w:r w:rsidRPr="00BD31BA">
        <w:rPr>
          <w:rFonts w:ascii="Adobe Garamond Pro" w:hAnsi="Adobe Garamond Pro" w:cs="Times New Roman"/>
        </w:rPr>
        <w:fldChar w:fldCharType="end"/>
      </w:r>
      <w:r w:rsidRPr="00BD31BA">
        <w:rPr>
          <w:rFonts w:ascii="Adobe Garamond Pro" w:hAnsi="Adobe Garamond Pro" w:cs="Times New Roman"/>
        </w:rPr>
        <w:t>.</w:t>
      </w:r>
    </w:p>
    <w:p w14:paraId="35C40653" w14:textId="5FB76763" w:rsidR="00BD31BA" w:rsidRPr="00BD31BA"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t xml:space="preserve">The organizational structure is relatively flat and flexible, allowing for quick communication but potentially limiting the development of professionalism and structured management if the business grows larger. The financial system still uses manual recording so it is recommended to use a simple accounting system to improve financial management and analysis </w:t>
      </w:r>
      <w:r w:rsidRPr="00BD31BA">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{"citationItems":[{"id":"ITEM-1","itemData":{"ISBN":"2005031100","author":[{"dropping-particle":"","family":"Hn &amp; Solekah","given":"Lailatus Syarifah; Aslamatis; Nihayatu;","non-dropping-particle":"","parse-names":false,"suffix":""}],"container-title":"Maliki Interdisciplinary Journal (MIJ) eISSN","id":"ITEM-1","issue":"4","issued":{"date-parts":[["2024"]]},"page":"252-257","title":"Analisis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Crackers","type":"article-journal","volume":"2"},"uris":["http://www.mendeley.com/documents/?uuid=9d9c1b81-3f53-42d7-807b-6d2e3c8db1bf","http://www.mendeley.com/documents/?uuid=110ae075-1c3b-4817-afc1-9023f4e6505e"]}],"mendeley":{"formattedCitation":"(Hn &amp; Solekah 2024)","plainTextFormattedCitation":"(Hn &amp; Solekah 2024)","previouslyFormattedCitation":"(Hn &amp; Solekah 2024)"},"properties":{"noteIndex":0},"schema":"https://github.com/citation-style-language/schema/raw/master/csl-citation.json"}</w:instrText>
      </w:r>
      <w:r w:rsidRPr="00BD31BA">
        <w:rPr>
          <w:rFonts w:ascii="Adobe Garamond Pro" w:hAnsi="Adobe Garamond Pro" w:cs="Times New Roman"/>
        </w:rPr>
        <w:fldChar w:fldCharType="separate"/>
      </w:r>
      <w:r w:rsidR="00C40B61" w:rsidRPr="00C40B61">
        <w:rPr>
          <w:rFonts w:ascii="Adobe Garamond Pro" w:hAnsi="Adobe Garamond Pro" w:cs="Times New Roman"/>
          <w:noProof/>
        </w:rPr>
        <w:t>(Hn &amp; Solekah 2024)</w:t>
      </w:r>
      <w:r w:rsidRPr="00BD31BA">
        <w:rPr>
          <w:rFonts w:ascii="Adobe Garamond Pro" w:hAnsi="Adobe Garamond Pro" w:cs="Times New Roman"/>
        </w:rPr>
        <w:fldChar w:fldCharType="end"/>
      </w:r>
      <w:r w:rsidRPr="00BD31BA">
        <w:rPr>
          <w:rFonts w:ascii="Adobe Garamond Pro" w:hAnsi="Adobe Garamond Pro" w:cs="Times New Roman"/>
        </w:rPr>
        <w:t>.</w:t>
      </w:r>
    </w:p>
    <w:p w14:paraId="1E63D361" w14:textId="7789994A" w:rsidR="00BD31BA" w:rsidRPr="00BD31BA"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lastRenderedPageBreak/>
        <w:t xml:space="preserve">The company has already a Business Identification Number (NIB) through the OSS system and a valid PIRT distribution permit as the basic legality of micro businesses. Amplang products also have halal certificates from BPJPH, which is a competitive advantage in the consumer market who are increasingly concerned about halal assurance and food safety </w:t>
      </w:r>
      <w:r w:rsidRPr="00BD31BA">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{"citationItems":[{"id":"ITEM-1","itemData":{"DOI":"10.21608/pshj.2022.250026","abstract":"Penelitian ini dilakukan di objek wisata kuliner tepian Danau Ranau Kabupaten Ogan Komering Ulu Selatan. Tujuan dalam penelitian ini adalah menganalisis kelayakan finansial kuliner agrowisata menggunakan perhitungan Net Present Value (NPV), Metode Annual Equivalent (AE), Metode Internal Rate of Return (IRR), Metode Benefit Cost Ratio (BCR) dan Metode Payback Period (PBP).","author":[{"dropping-particle":"","family":"Pusvita","given":"L. Andrean; Putri Ayu Ogari; Ema","non-dropping-particle":"","parse-names":false,"suffix":""}],"container-title":"Jurnal Ilmiah Mahasiswa AGROINFO GALUH","id":"ITEM-1","issue":"1","issued":{"date-parts":[["2024"]]},"page":"998-1009","title":"Analisis Kelayakan Finansial Kuliner Agrowisata Tepian Danau Ranau Kabupaten Ogan Komering Ulu Selatan","type":"article-journal","volume":"11"},"uris":["http://www.mendeley.com/documents/?uuid=d4161ffa-3e9b-46b0-a0e9-ece1d2bc5294","http://www.mendeley.com/documents/?uuid=1d7f74e1-6411-4789-a208-6b9bd3d9ff59"]}],"mendeley":{"formattedCitation":"(Pusvita 2024)","plainTextFormattedCitation":"(Pusvita 2024)","previouslyFormattedCitation":"(Pusvita 2024)"},"properties":{"noteIndex":0},"schema":"https://github.com/citation-style-language/schema/raw/master/csl-citation.json"}</w:instrText>
      </w:r>
      <w:r w:rsidRPr="00BD31BA">
        <w:rPr>
          <w:rFonts w:ascii="Adobe Garamond Pro" w:hAnsi="Adobe Garamond Pro" w:cs="Times New Roman"/>
        </w:rPr>
        <w:fldChar w:fldCharType="separate"/>
      </w:r>
      <w:r w:rsidR="00C40B61" w:rsidRPr="00C40B61">
        <w:rPr>
          <w:rFonts w:ascii="Adobe Garamond Pro" w:hAnsi="Adobe Garamond Pro" w:cs="Times New Roman"/>
          <w:noProof/>
        </w:rPr>
        <w:t>(Pusvita 2024)</w:t>
      </w:r>
      <w:r w:rsidRPr="00BD31BA">
        <w:rPr>
          <w:rFonts w:ascii="Adobe Garamond Pro" w:hAnsi="Adobe Garamond Pro" w:cs="Times New Roman"/>
        </w:rPr>
        <w:fldChar w:fldCharType="end"/>
      </w:r>
      <w:r w:rsidRPr="00BD31BA">
        <w:rPr>
          <w:rFonts w:ascii="Adobe Garamond Pro" w:hAnsi="Adobe Garamond Pro" w:cs="Times New Roman"/>
        </w:rPr>
        <w:t>.</w:t>
      </w:r>
    </w:p>
    <w:p w14:paraId="7B563290" w14:textId="4BBDF613" w:rsidR="00BD31BA" w:rsidRPr="00BD31BA"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t xml:space="preserve">However, businesses have not yet developed trademarks that are at risk of claims or imitation of products by competitors. It is recommended to register the trademark immediately to protect intellectual property rights. Environmental management with the ISO 14001 lite approach has begun to be carried out through the separation of organic and inorganic waste and energy efficiency, for example the reduction of used cooking oil waste and the use of LED lights </w:t>
      </w:r>
      <w:r w:rsidRPr="00BD31BA">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{"citationItems":[{"id":"ITEM-1","itemData":{"ISBN":"2005031100","author":[{"dropping-particle":"","family":"Hn &amp; Solekah","given":"Lailatus Syarifah; Aslamatis; Nihayatu;","non-dropping-particle":"","parse-names":false,"suffix":""}],"container-title":"Maliki Interdisciplinary Journal (MIJ) eISSN","id":"ITEM-1","issue":"4","issued":{"date-parts":[["2024"]]},"page":"252-257","title":"Analisis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Crackers","type":"article-journal","volume":"2"},"uris":["http://www.mendeley.com/documents/?uuid=9d9c1b81-3f53-42d7-807b-6d2e3c8db1bf","http://www.mendeley.com/documents/?uuid=110ae075-1c3b-4817-afc1-9023f4e6505e"]}],"mendeley":{"formattedCitation":"(Hn &amp; Solekah 2024)","plainTextFormattedCitation":"(Hn &amp; Solekah 2024)","previouslyFormattedCitation":"(Hn &amp; Solekah 2024)"},"properties":{"noteIndex":0},"schema":"https://github.com/citation-style-language/schema/raw/master/csl-citation.json"}</w:instrText>
      </w:r>
      <w:r w:rsidRPr="00BD31BA">
        <w:rPr>
          <w:rFonts w:ascii="Adobe Garamond Pro" w:hAnsi="Adobe Garamond Pro" w:cs="Times New Roman"/>
        </w:rPr>
        <w:fldChar w:fldCharType="separate"/>
      </w:r>
      <w:r w:rsidR="00C40B61" w:rsidRPr="00C40B61">
        <w:rPr>
          <w:rFonts w:ascii="Adobe Garamond Pro" w:hAnsi="Adobe Garamond Pro" w:cs="Times New Roman"/>
          <w:noProof/>
        </w:rPr>
        <w:t>(Hn &amp; Solekah 2024)</w:t>
      </w:r>
      <w:r w:rsidRPr="00BD31BA">
        <w:rPr>
          <w:rFonts w:ascii="Adobe Garamond Pro" w:hAnsi="Adobe Garamond Pro" w:cs="Times New Roman"/>
        </w:rPr>
        <w:fldChar w:fldCharType="end"/>
      </w:r>
      <w:r w:rsidRPr="00BD31BA">
        <w:rPr>
          <w:rFonts w:ascii="Adobe Garamond Pro" w:hAnsi="Adobe Garamond Pro" w:cs="Times New Roman"/>
        </w:rPr>
        <w:t>.</w:t>
      </w:r>
    </w:p>
    <w:p w14:paraId="34DEB886" w14:textId="172CB9A9" w:rsidR="00BD31BA" w:rsidRPr="00BD31BA"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t xml:space="preserve">The development of mass legality such as BPOM MD licensing needs to be prepared if production capacity or distribution network is expanded. These steps are important for businesses to meet stricter regulatory standards and open up opportunities for wider access to capital and partnerships </w:t>
      </w:r>
      <w:r w:rsidRPr="00BD31BA">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{"citationItems":[{"id":"ITEM-1","itemData":{"ISBN":"2005031100","author":[{"dropping-particle":"","family":"Hn &amp; Solekah","given":"Lailatus Syarifah; Aslamatis; Nihayatu;","non-dropping-particle":"","parse-names":false,"suffix":""}],"container-title":"Maliki Interdisciplinary Journal (MIJ) eISSN","id":"ITEM-1","issue":"4","issued":{"date-parts":[["2024"]]},"page":"252-257","title":"Analisis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Crackers","type":"article-journal","volume":"2"},"uris":["http://www.mendeley.com/documents/?uuid=9d9c1b81-3f53-42d7-807b-6d2e3c8db1bf","http://www.mendeley.com/documents/?uuid=110ae075-1c3b-4817-afc1-9023f4e6505e"]}],"mendeley":{"formattedCitation":"(Hn &amp; Solekah 2024)","plainTextFormattedCitation":"(Hn &amp; Solekah 2024)","previouslyFormattedCitation":"(Hn &amp; Solekah 2024)"},"properties":{"noteIndex":0},"schema":"https://github.com/citation-style-language/schema/raw/master/csl-citation.json"}</w:instrText>
      </w:r>
      <w:r w:rsidRPr="00BD31BA">
        <w:rPr>
          <w:rFonts w:ascii="Adobe Garamond Pro" w:hAnsi="Adobe Garamond Pro" w:cs="Times New Roman"/>
        </w:rPr>
        <w:fldChar w:fldCharType="separate"/>
      </w:r>
      <w:r w:rsidR="00C40B61" w:rsidRPr="00C40B61">
        <w:rPr>
          <w:rFonts w:ascii="Adobe Garamond Pro" w:hAnsi="Adobe Garamond Pro" w:cs="Times New Roman"/>
          <w:noProof/>
        </w:rPr>
        <w:t>(Hn &amp; Solekah 2024)</w:t>
      </w:r>
      <w:r w:rsidRPr="00BD31BA">
        <w:rPr>
          <w:rFonts w:ascii="Adobe Garamond Pro" w:hAnsi="Adobe Garamond Pro" w:cs="Times New Roman"/>
        </w:rPr>
        <w:fldChar w:fldCharType="end"/>
      </w:r>
      <w:r w:rsidRPr="00BD31BA">
        <w:rPr>
          <w:rFonts w:ascii="Adobe Garamond Pro" w:hAnsi="Adobe Garamond Pro" w:cs="Times New Roman"/>
        </w:rPr>
        <w:t>.</w:t>
      </w:r>
    </w:p>
    <w:p w14:paraId="61DF53EF" w14:textId="47A5807A" w:rsidR="006B65D5"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t>Before the feasibility analysis is carried out using financial indicators, the details of production costs are first prepared consisting of fixed costs and variable costs. The preparation of this table aims to provide a clearer picture of the structure of business expenses in each production period. Fixed costs include expenses that remain unchanged even if the amount of production differs, such as venue rental costs, and equipment depreciation.</w:t>
      </w:r>
    </w:p>
    <w:p w14:paraId="270A9758" w14:textId="5C5CDE70" w:rsidR="00540B9F" w:rsidRPr="00540B9F" w:rsidRDefault="006B65D5" w:rsidP="00540B9F">
      <w:pPr>
        <w:pStyle w:val="Caption"/>
        <w:rPr>
          <w:rFonts w:ascii="Adobe Garamond Pro" w:hAnsi="Adobe Garamond Pro" w:cs="Times New Roman"/>
          <w:i w:val="0"/>
          <w:iCs w:val="0"/>
          <w:color w:val="auto"/>
          <w:sz w:val="22"/>
          <w:szCs w:val="22"/>
          <w:lang w:val="en-US"/>
        </w:rPr>
      </w:pPr>
      <w:r w:rsidRPr="00540B9F">
        <w:rPr>
          <w:rFonts w:ascii="Adobe Garamond Pro" w:hAnsi="Adobe Garamond Pro" w:cs="Times New Roman"/>
          <w:b/>
          <w:bCs/>
          <w:i w:val="0"/>
          <w:iCs w:val="0"/>
          <w:noProof/>
          <w:sz w:val="20"/>
          <w:szCs w:val="28"/>
        </w:rPr>
        <w:drawing>
          <wp:anchor distT="0" distB="0" distL="114300" distR="114300" simplePos="0" relativeHeight="251659264" behindDoc="1" locked="0" layoutInCell="1" allowOverlap="1" wp14:anchorId="0DDD5F23" wp14:editId="3A003438">
            <wp:simplePos x="0" y="0"/>
            <wp:positionH relativeFrom="column">
              <wp:posOffset>-19050</wp:posOffset>
            </wp:positionH>
            <wp:positionV relativeFrom="paragraph">
              <wp:posOffset>347526</wp:posOffset>
            </wp:positionV>
            <wp:extent cx="5730875" cy="1798320"/>
            <wp:effectExtent l="0" t="0" r="3175" b="0"/>
            <wp:wrapSquare wrapText="bothSides"/>
            <wp:docPr id="1249532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1798320"/>
                    </a:xfrm>
                    <a:prstGeom prst="rect">
                      <a:avLst/>
                    </a:prstGeom>
                    <a:noFill/>
                  </pic:spPr>
                </pic:pic>
              </a:graphicData>
            </a:graphic>
          </wp:anchor>
        </w:drawing>
      </w:r>
      <w:r w:rsidR="004753F5" w:rsidRPr="00540B9F">
        <w:rPr>
          <w:rFonts w:ascii="Adobe Garamond Pro" w:hAnsi="Adobe Garamond Pro" w:cs="Times New Roman"/>
          <w:b/>
          <w:bCs/>
          <w:i w:val="0"/>
          <w:iCs w:val="0"/>
          <w:color w:val="auto"/>
          <w:sz w:val="22"/>
          <w:szCs w:val="22"/>
        </w:rPr>
        <w:t>Tabel 1.</w:t>
      </w:r>
      <w:r w:rsidR="004753F5" w:rsidRPr="00540B9F">
        <w:rPr>
          <w:rFonts w:ascii="Adobe Garamond Pro" w:hAnsi="Adobe Garamond Pro" w:cs="Times New Roman"/>
          <w:i w:val="0"/>
          <w:iCs w:val="0"/>
          <w:color w:val="auto"/>
          <w:sz w:val="22"/>
          <w:szCs w:val="22"/>
          <w:lang w:val="en-US"/>
        </w:rPr>
        <w:t xml:space="preserve"> Fixed Cost Amplang Sinar Baru</w:t>
      </w:r>
    </w:p>
    <w:p w14:paraId="48C60170" w14:textId="77777777" w:rsidR="006B65D5" w:rsidRDefault="006B65D5" w:rsidP="008D6F09">
      <w:pPr>
        <w:tabs>
          <w:tab w:val="left" w:pos="142"/>
        </w:tabs>
        <w:spacing w:after="0" w:line="360" w:lineRule="auto"/>
        <w:rPr>
          <w:rFonts w:ascii="Adobe Garamond Pro" w:hAnsi="Adobe Garamond Pro" w:cs="Times New Roman"/>
        </w:rPr>
      </w:pPr>
    </w:p>
    <w:p w14:paraId="726CE04B" w14:textId="60B3A7ED" w:rsidR="00BD31BA" w:rsidRPr="00BD31BA" w:rsidRDefault="00BD31BA" w:rsidP="008D6F09">
      <w:pPr>
        <w:tabs>
          <w:tab w:val="left" w:pos="142"/>
        </w:tabs>
        <w:spacing w:after="0" w:line="360" w:lineRule="auto"/>
        <w:rPr>
          <w:rFonts w:ascii="Adobe Garamond Pro" w:hAnsi="Adobe Garamond Pro" w:cs="Arial"/>
          <w:b/>
          <w:bCs/>
          <w:iCs/>
          <w:color w:val="000000" w:themeColor="text1"/>
        </w:rPr>
      </w:pPr>
      <w:r w:rsidRPr="00BD31BA">
        <w:rPr>
          <w:rFonts w:ascii="Adobe Garamond Pro" w:hAnsi="Adobe Garamond Pro" w:cs="Times New Roman"/>
        </w:rPr>
        <w:t>Meanwhile, variable costs include the cost of raw materials, gas, cooking oil, and packaging that changes</w:t>
      </w:r>
      <w:r w:rsidR="008D6F09">
        <w:rPr>
          <w:rFonts w:ascii="Adobe Garamond Pro" w:hAnsi="Adobe Garamond Pro" w:cs="Times New Roman"/>
        </w:rPr>
        <w:t xml:space="preserve"> </w:t>
      </w:r>
      <w:r w:rsidRPr="00BD31BA">
        <w:rPr>
          <w:rFonts w:ascii="Adobe Garamond Pro" w:hAnsi="Adobe Garamond Pro" w:cs="Times New Roman"/>
        </w:rPr>
        <w:t>according to production volume.</w:t>
      </w:r>
    </w:p>
    <w:p w14:paraId="55E580D3" w14:textId="2453B92A" w:rsidR="00BD31BA" w:rsidRPr="00BD31BA" w:rsidRDefault="00BD31BA" w:rsidP="002544F2">
      <w:pPr>
        <w:spacing w:line="360" w:lineRule="auto"/>
        <w:ind w:firstLine="720"/>
        <w:jc w:val="both"/>
        <w:rPr>
          <w:rFonts w:ascii="Adobe Garamond Pro" w:hAnsi="Adobe Garamond Pro" w:cs="Times New Roman"/>
        </w:rPr>
      </w:pPr>
      <w:r w:rsidRPr="00BD31BA">
        <w:rPr>
          <w:rFonts w:ascii="Adobe Garamond Pro" w:hAnsi="Adobe Garamond Pro" w:cs="Times New Roman"/>
        </w:rPr>
        <w:t xml:space="preserve">The financial analysis shows an initial investment of IDR 5,000,000 with an average production cost of IDR 5,883,500 per production which produces 10-20 kg of amplang. The main purpose of this analysis is to assess whether Ampang Sinar Baru's business is financially feasible and profitable to run in the medium term (5 years). The assessment is carried out using four main indicators, namely Net Present Value </w:t>
      </w:r>
      <w:r w:rsidRPr="00BD31BA">
        <w:rPr>
          <w:rFonts w:ascii="Adobe Garamond Pro" w:hAnsi="Adobe Garamond Pro" w:cs="Times New Roman"/>
        </w:rPr>
        <w:lastRenderedPageBreak/>
        <w:t xml:space="preserve">(NPV), Internal Rate of Return (IRR), Payback Period (PP), dan Break-Even Point (BEP). These four indicators complement each other in providing an overview of potential profits, return on capital, and the level of financial efficiency of the business </w:t>
      </w:r>
      <w:r w:rsidRPr="00BD31BA">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{"citationItems":[{"id":"ITEM-1","itemData":{"author":[{"dropping-particle":"","family":"Lorenzo","given":"Hannah","non-dropping-particle":"","parse-names":false,"suffix":""}],"container-title":"Maliki Journal of Innovation and Entrepreneurship","id":"ITEM-1","issued":{"date-parts":[["2024"]]},"title":"Mapping Asian And Asian-American Community Formations In Hartford Through Culturally-Related Businesses","type":"article-journal"},"uris":["http://www.mendeley.com/documents/?uuid=e9c66584-4c44-4db5-9198-2359cc6762ca","http://www.mendeley.com/documents/?uuid=685cea70-fbed-4ac3-9895-dbb9b1289740"]},{"id":"ITEM-2","itemData":{"ISBN":"2005031100","author":[{"dropping-particle":"","family":"Hn &amp; Solekah","given":"Lailatus Syarifah; Aslamatis; Nihayatu;","non-dropping-particle":"","parse-names":false,"suffix":""}],"container-title":"Maliki Interdisciplinary Journal (MIJ) eISSN","id":"ITEM-2","issue":"4","issued":{"date-parts":[["2024"]]},"page":"252-257","title":"Analisis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Crackers","type":"article-journal","volume":"2"},"uris":["http://www.mendeley.com/documents/?uuid=9d9c1b81-3f53-42d7-807b-6d2e3c8db1bf","http://www.mendeley.com/documents/?uuid=110ae075-1c3b-4817-afc1-9023f4e6505e"]}],"mendeley":{"formattedCitation":"(Hn &amp; Solekah 2024; Lorenzo 2024)","plainTextFormattedCitation":"(Hn &amp; Solekah 2024; Lorenzo 2024)","previouslyFormattedCitation":"(Hn &amp; Solekah 2024; Lorenzo 2024)"},"properties":{"noteIndex":0},"schema":"https://github.com/citation-style-language/schema/raw/master/csl-citation.json"}</w:instrText>
      </w:r>
      <w:r w:rsidRPr="00BD31BA">
        <w:rPr>
          <w:rFonts w:ascii="Adobe Garamond Pro" w:hAnsi="Adobe Garamond Pro" w:cs="Times New Roman"/>
        </w:rPr>
        <w:fldChar w:fldCharType="separate"/>
      </w:r>
      <w:r w:rsidR="00C40B61" w:rsidRPr="00C40B61">
        <w:rPr>
          <w:rFonts w:ascii="Adobe Garamond Pro" w:hAnsi="Adobe Garamond Pro" w:cs="Times New Roman"/>
          <w:noProof/>
        </w:rPr>
        <w:t>(Hn &amp; Solekah 2024; Lorenzo 2024)</w:t>
      </w:r>
      <w:r w:rsidRPr="00BD31BA">
        <w:rPr>
          <w:rFonts w:ascii="Adobe Garamond Pro" w:hAnsi="Adobe Garamond Pro" w:cs="Times New Roman"/>
        </w:rPr>
        <w:fldChar w:fldCharType="end"/>
      </w:r>
      <w:r w:rsidRPr="00BD31BA">
        <w:rPr>
          <w:rFonts w:ascii="Adobe Garamond Pro" w:hAnsi="Adobe Garamond Pro" w:cs="Times New Roman"/>
        </w:rPr>
        <w:t>.</w:t>
      </w:r>
    </w:p>
    <w:p w14:paraId="3942B4F3" w14:textId="3BD231CA" w:rsidR="006B65D5" w:rsidRPr="00540B9F" w:rsidRDefault="006B65D5" w:rsidP="00540B9F">
      <w:pPr>
        <w:pStyle w:val="Caption"/>
        <w:spacing w:after="0" w:line="360" w:lineRule="auto"/>
        <w:rPr>
          <w:rFonts w:ascii="Adobe Garamond Pro" w:hAnsi="Adobe Garamond Pro" w:cs="Times New Roman"/>
          <w:i w:val="0"/>
          <w:iCs w:val="0"/>
          <w:color w:val="auto"/>
          <w:sz w:val="22"/>
          <w:szCs w:val="22"/>
          <w:lang w:val="en-US"/>
        </w:rPr>
      </w:pPr>
      <w:r w:rsidRPr="00540B9F">
        <w:rPr>
          <w:rFonts w:ascii="Adobe Garamond Pro" w:hAnsi="Adobe Garamond Pro" w:cs="Times New Roman"/>
          <w:b/>
          <w:bCs/>
          <w:i w:val="0"/>
          <w:iCs w:val="0"/>
          <w:noProof/>
          <w:sz w:val="24"/>
          <w:szCs w:val="24"/>
        </w:rPr>
        <w:drawing>
          <wp:anchor distT="0" distB="0" distL="114300" distR="114300" simplePos="0" relativeHeight="251661312" behindDoc="1" locked="0" layoutInCell="1" allowOverlap="1" wp14:anchorId="107BD650" wp14:editId="70CB75F3">
            <wp:simplePos x="0" y="0"/>
            <wp:positionH relativeFrom="column">
              <wp:posOffset>5715</wp:posOffset>
            </wp:positionH>
            <wp:positionV relativeFrom="paragraph">
              <wp:posOffset>204198</wp:posOffset>
            </wp:positionV>
            <wp:extent cx="5730875" cy="2932430"/>
            <wp:effectExtent l="0" t="0" r="3175" b="1270"/>
            <wp:wrapSquare wrapText="bothSides"/>
            <wp:docPr id="17597386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2932430"/>
                    </a:xfrm>
                    <a:prstGeom prst="rect">
                      <a:avLst/>
                    </a:prstGeom>
                    <a:noFill/>
                  </pic:spPr>
                </pic:pic>
              </a:graphicData>
            </a:graphic>
          </wp:anchor>
        </w:drawing>
      </w:r>
      <w:r w:rsidR="004753F5" w:rsidRPr="00540B9F">
        <w:rPr>
          <w:rFonts w:ascii="Adobe Garamond Pro" w:hAnsi="Adobe Garamond Pro" w:cs="Times New Roman"/>
          <w:b/>
          <w:bCs/>
          <w:i w:val="0"/>
          <w:iCs w:val="0"/>
          <w:color w:val="auto"/>
          <w:sz w:val="22"/>
          <w:szCs w:val="22"/>
        </w:rPr>
        <w:t xml:space="preserve">Tabel </w:t>
      </w:r>
      <w:r w:rsidR="004753F5" w:rsidRPr="00540B9F">
        <w:rPr>
          <w:rFonts w:ascii="Adobe Garamond Pro" w:hAnsi="Adobe Garamond Pro" w:cs="Times New Roman"/>
          <w:b/>
          <w:bCs/>
          <w:i w:val="0"/>
          <w:iCs w:val="0"/>
          <w:color w:val="auto"/>
          <w:sz w:val="22"/>
          <w:szCs w:val="22"/>
        </w:rPr>
        <w:fldChar w:fldCharType="begin"/>
      </w:r>
      <w:r w:rsidR="004753F5" w:rsidRPr="00540B9F">
        <w:rPr>
          <w:rFonts w:ascii="Adobe Garamond Pro" w:hAnsi="Adobe Garamond Pro" w:cs="Times New Roman"/>
          <w:b/>
          <w:bCs/>
          <w:i w:val="0"/>
          <w:iCs w:val="0"/>
          <w:color w:val="auto"/>
          <w:sz w:val="22"/>
          <w:szCs w:val="22"/>
        </w:rPr>
        <w:instrText xml:space="preserve"> SEQ Tabel_1. \* ARABIC </w:instrText>
      </w:r>
      <w:r w:rsidR="004753F5" w:rsidRPr="00540B9F">
        <w:rPr>
          <w:rFonts w:ascii="Adobe Garamond Pro" w:hAnsi="Adobe Garamond Pro" w:cs="Times New Roman"/>
          <w:b/>
          <w:bCs/>
          <w:i w:val="0"/>
          <w:iCs w:val="0"/>
          <w:color w:val="auto"/>
          <w:sz w:val="22"/>
          <w:szCs w:val="22"/>
        </w:rPr>
        <w:fldChar w:fldCharType="separate"/>
      </w:r>
      <w:r w:rsidR="004753F5" w:rsidRPr="00540B9F">
        <w:rPr>
          <w:rFonts w:ascii="Adobe Garamond Pro" w:hAnsi="Adobe Garamond Pro" w:cs="Times New Roman"/>
          <w:b/>
          <w:bCs/>
          <w:i w:val="0"/>
          <w:iCs w:val="0"/>
          <w:noProof/>
          <w:color w:val="auto"/>
          <w:sz w:val="22"/>
          <w:szCs w:val="22"/>
        </w:rPr>
        <w:t>2</w:t>
      </w:r>
      <w:r w:rsidR="004753F5" w:rsidRPr="00540B9F">
        <w:rPr>
          <w:rFonts w:ascii="Adobe Garamond Pro" w:hAnsi="Adobe Garamond Pro" w:cs="Times New Roman"/>
          <w:b/>
          <w:bCs/>
          <w:i w:val="0"/>
          <w:iCs w:val="0"/>
          <w:color w:val="auto"/>
          <w:sz w:val="22"/>
          <w:szCs w:val="22"/>
        </w:rPr>
        <w:fldChar w:fldCharType="end"/>
      </w:r>
      <w:r w:rsidR="004753F5" w:rsidRPr="00540B9F">
        <w:rPr>
          <w:rFonts w:ascii="Adobe Garamond Pro" w:hAnsi="Adobe Garamond Pro" w:cs="Times New Roman"/>
          <w:b/>
          <w:bCs/>
          <w:i w:val="0"/>
          <w:iCs w:val="0"/>
          <w:color w:val="auto"/>
          <w:sz w:val="22"/>
          <w:szCs w:val="22"/>
          <w:lang w:val="en-US"/>
        </w:rPr>
        <w:t>.</w:t>
      </w:r>
      <w:r w:rsidR="004753F5" w:rsidRPr="00540B9F">
        <w:rPr>
          <w:rFonts w:ascii="Adobe Garamond Pro" w:hAnsi="Adobe Garamond Pro" w:cs="Times New Roman"/>
          <w:i w:val="0"/>
          <w:iCs w:val="0"/>
          <w:color w:val="auto"/>
          <w:sz w:val="22"/>
          <w:szCs w:val="22"/>
          <w:lang w:val="en-US"/>
        </w:rPr>
        <w:t xml:space="preserve"> Variable Cost Amplang Sinar Baru</w:t>
      </w:r>
    </w:p>
    <w:p w14:paraId="3C59698F" w14:textId="77777777" w:rsidR="00540B9F" w:rsidRDefault="00540B9F" w:rsidP="00540B9F">
      <w:pPr>
        <w:spacing w:after="0" w:line="360" w:lineRule="auto"/>
        <w:jc w:val="both"/>
        <w:rPr>
          <w:rFonts w:ascii="Adobe Garamond Pro" w:hAnsi="Adobe Garamond Pro" w:cs="Times New Roman"/>
          <w:b/>
          <w:bCs/>
        </w:rPr>
      </w:pPr>
    </w:p>
    <w:p w14:paraId="2E2155C2" w14:textId="4A8A728D" w:rsidR="008D6F09" w:rsidRDefault="00BD31BA" w:rsidP="00540B9F">
      <w:pPr>
        <w:spacing w:after="0" w:line="360" w:lineRule="auto"/>
        <w:jc w:val="both"/>
        <w:rPr>
          <w:rFonts w:ascii="Adobe Garamond Pro" w:hAnsi="Adobe Garamond Pro" w:cs="Times New Roman"/>
          <w:b/>
          <w:bCs/>
        </w:rPr>
      </w:pPr>
      <w:r w:rsidRPr="00BD31BA">
        <w:rPr>
          <w:rFonts w:ascii="Adobe Garamond Pro" w:hAnsi="Adobe Garamond Pro" w:cs="Times New Roman"/>
          <w:b/>
          <w:bCs/>
        </w:rPr>
        <w:t>Net Present Value (NPV)</w:t>
      </w:r>
    </w:p>
    <w:p w14:paraId="12DAE349" w14:textId="55580E16" w:rsidR="00BD31BA" w:rsidRPr="00BD31BA" w:rsidRDefault="00BD31BA" w:rsidP="00540B9F">
      <w:pPr>
        <w:spacing w:after="0" w:line="360" w:lineRule="auto"/>
        <w:jc w:val="both"/>
        <w:rPr>
          <w:rFonts w:ascii="Adobe Garamond Pro" w:hAnsi="Adobe Garamond Pro" w:cs="Times New Roman"/>
          <w:b/>
          <w:bCs/>
        </w:rPr>
      </w:pPr>
      <w:r w:rsidRPr="00BD31BA">
        <w:rPr>
          <w:rFonts w:ascii="Adobe Garamond Pro" w:hAnsi="Adobe Garamond Pro" w:cs="Times New Roman"/>
          <w:b/>
          <w:bCs/>
        </w:rPr>
        <w:t>Known:</w:t>
      </w:r>
    </w:p>
    <w:p w14:paraId="724E0FE7" w14:textId="77777777" w:rsidR="00BD31BA" w:rsidRPr="002A3249" w:rsidRDefault="00BD31BA" w:rsidP="00540B9F">
      <w:pPr>
        <w:tabs>
          <w:tab w:val="left" w:pos="426"/>
        </w:tabs>
        <w:spacing w:after="0" w:line="360" w:lineRule="auto"/>
        <w:jc w:val="both"/>
        <w:rPr>
          <w:rFonts w:ascii="Adobe Garamond Pro" w:hAnsi="Adobe Garamond Pro" w:cs="Times New Roman"/>
        </w:rPr>
      </w:pPr>
      <w:r w:rsidRPr="002A3249">
        <w:rPr>
          <w:rFonts w:ascii="Adobe Garamond Pro" w:hAnsi="Adobe Garamond Pro" w:cs="Times New Roman"/>
        </w:rPr>
        <w:t>CF</w:t>
      </w:r>
      <w:r w:rsidRPr="002A3249">
        <w:rPr>
          <w:rFonts w:ascii="Adobe Garamond Pro" w:hAnsi="Adobe Garamond Pro" w:cs="Times New Roman"/>
          <w:vertAlign w:val="subscript"/>
        </w:rPr>
        <w:t>t</w:t>
      </w:r>
      <w:r w:rsidRPr="002A3249">
        <w:rPr>
          <w:rFonts w:ascii="Adobe Garamond Pro" w:hAnsi="Adobe Garamond Pro" w:cs="Times New Roman"/>
        </w:rPr>
        <w:t xml:space="preserve"> </w:t>
      </w:r>
      <w:r w:rsidRPr="002A3249">
        <w:rPr>
          <w:rFonts w:ascii="Adobe Garamond Pro" w:hAnsi="Adobe Garamond Pro" w:cs="Times New Roman"/>
        </w:rPr>
        <w:tab/>
        <w:t>= IDR 24,000,000</w:t>
      </w:r>
    </w:p>
    <w:p w14:paraId="37C50D73" w14:textId="77777777" w:rsidR="00BD31BA" w:rsidRPr="002A3249" w:rsidRDefault="00BD31BA" w:rsidP="00540B9F">
      <w:pPr>
        <w:tabs>
          <w:tab w:val="left" w:pos="426"/>
        </w:tabs>
        <w:spacing w:after="0" w:line="360" w:lineRule="auto"/>
        <w:jc w:val="both"/>
        <w:rPr>
          <w:rFonts w:ascii="Adobe Garamond Pro" w:hAnsi="Adobe Garamond Pro" w:cs="Times New Roman"/>
        </w:rPr>
      </w:pPr>
      <w:r w:rsidRPr="002A3249">
        <w:rPr>
          <w:rFonts w:ascii="Adobe Garamond Pro" w:hAnsi="Adobe Garamond Pro" w:cs="Times New Roman"/>
        </w:rPr>
        <w:t>r</w:t>
      </w:r>
      <w:r w:rsidRPr="002A3249">
        <w:rPr>
          <w:rFonts w:ascii="Adobe Garamond Pro" w:hAnsi="Adobe Garamond Pro" w:cs="Times New Roman"/>
        </w:rPr>
        <w:tab/>
        <w:t>= 10%</w:t>
      </w:r>
    </w:p>
    <w:p w14:paraId="1DA1CA6C" w14:textId="77777777" w:rsidR="00BD31BA" w:rsidRPr="002A3249" w:rsidRDefault="00BD31BA" w:rsidP="00540B9F">
      <w:pPr>
        <w:tabs>
          <w:tab w:val="left" w:pos="426"/>
        </w:tabs>
        <w:spacing w:after="0" w:line="360" w:lineRule="auto"/>
        <w:jc w:val="both"/>
        <w:rPr>
          <w:rFonts w:ascii="Adobe Garamond Pro" w:hAnsi="Adobe Garamond Pro" w:cs="Times New Roman"/>
        </w:rPr>
      </w:pPr>
      <w:r w:rsidRPr="002A3249">
        <w:rPr>
          <w:rFonts w:ascii="Adobe Garamond Pro" w:hAnsi="Adobe Garamond Pro" w:cs="Times New Roman"/>
        </w:rPr>
        <w:t>I</w:t>
      </w:r>
      <w:r w:rsidRPr="002A3249">
        <w:rPr>
          <w:rFonts w:ascii="Adobe Garamond Pro" w:hAnsi="Adobe Garamond Pro" w:cs="Times New Roman"/>
          <w:vertAlign w:val="subscript"/>
        </w:rPr>
        <w:t>0</w:t>
      </w:r>
      <w:r w:rsidRPr="002A3249">
        <w:rPr>
          <w:rFonts w:ascii="Adobe Garamond Pro" w:hAnsi="Adobe Garamond Pro" w:cs="Times New Roman"/>
          <w:vertAlign w:val="subscript"/>
        </w:rPr>
        <w:tab/>
      </w:r>
      <w:r w:rsidRPr="002A3249">
        <w:rPr>
          <w:rFonts w:ascii="Adobe Garamond Pro" w:hAnsi="Adobe Garamond Pro" w:cs="Times New Roman"/>
        </w:rPr>
        <w:t>= IDR 5,000,000</w:t>
      </w:r>
    </w:p>
    <w:p w14:paraId="2DE5430E" w14:textId="3B20176F" w:rsidR="00BD31BA" w:rsidRPr="00BD31BA" w:rsidRDefault="00BD31BA" w:rsidP="00540B9F">
      <w:pPr>
        <w:tabs>
          <w:tab w:val="left" w:pos="426"/>
        </w:tabs>
        <w:spacing w:after="0" w:line="360" w:lineRule="auto"/>
        <w:jc w:val="both"/>
        <w:rPr>
          <w:rFonts w:ascii="Adobe Garamond Pro" w:hAnsi="Adobe Garamond Pro" w:cs="Times New Roman"/>
        </w:rPr>
      </w:pPr>
      <w:r w:rsidRPr="00BD31BA">
        <w:rPr>
          <w:rFonts w:ascii="Adobe Garamond Pro" w:hAnsi="Adobe Garamond Pro" w:cs="Times New Roman"/>
        </w:rPr>
        <w:t>n</w:t>
      </w:r>
      <w:r w:rsidRPr="00BD31BA">
        <w:rPr>
          <w:rFonts w:ascii="Adobe Garamond Pro" w:hAnsi="Adobe Garamond Pro" w:cs="Times New Roman"/>
        </w:rPr>
        <w:tab/>
        <w:t>= 5 years</w:t>
      </w:r>
    </w:p>
    <w:p w14:paraId="4F4A2955" w14:textId="77777777" w:rsidR="00BD31BA" w:rsidRPr="00540B9F" w:rsidRDefault="00BD31BA" w:rsidP="00540B9F">
      <w:pPr>
        <w:spacing w:line="360" w:lineRule="auto"/>
        <w:jc w:val="both"/>
        <w:rPr>
          <w:rFonts w:ascii="Adobe Garamond Pro" w:eastAsiaTheme="minorEastAsia" w:hAnsi="Adobe Garamond Pro" w:cs="Times New Roman"/>
          <w:b/>
          <w:bCs/>
        </w:rPr>
      </w:pPr>
      <w:r w:rsidRPr="00540B9F">
        <w:rPr>
          <w:rFonts w:ascii="Adobe Garamond Pro" w:eastAsiaTheme="minorEastAsia" w:hAnsi="Adobe Garamond Pro" w:cs="Times New Roman"/>
          <w:b/>
          <w:bCs/>
        </w:rPr>
        <w:t>Calculation PV</w:t>
      </w:r>
    </w:p>
    <w:p w14:paraId="6B207306" w14:textId="77777777" w:rsidR="00BD31BA" w:rsidRPr="00540B9F" w:rsidRDefault="00BD31BA" w:rsidP="00540B9F">
      <w:pPr>
        <w:spacing w:line="360" w:lineRule="auto"/>
        <w:jc w:val="both"/>
        <w:rPr>
          <w:rFonts w:ascii="Adobe Garamond Pro" w:eastAsia="Times New Roman" w:hAnsi="Adobe Garamond Pro" w:cs="Times New Roman"/>
          <w:kern w:val="2"/>
          <w14:ligatures w14:val="standardContextual"/>
        </w:rPr>
      </w:pPr>
      <w:r w:rsidRPr="00540B9F">
        <w:rPr>
          <w:rFonts w:ascii="Adobe Garamond Pro" w:eastAsia="Times New Roman" w:hAnsi="Adobe Garamond Pro" w:cs="Times New Roman"/>
          <w:kern w:val="2"/>
          <w14:ligatures w14:val="standardContextual"/>
        </w:rPr>
        <w:t>Year 1:</w:t>
      </w:r>
    </w:p>
    <w:p w14:paraId="56E9A284" w14:textId="77777777" w:rsidR="00BD31BA" w:rsidRPr="00540B9F" w:rsidRDefault="00000000" w:rsidP="00540B9F">
      <w:pPr>
        <w:spacing w:line="360" w:lineRule="auto"/>
        <w:ind w:left="1636"/>
        <w:contextualSpacing/>
        <w:jc w:val="both"/>
        <w:rPr>
          <w:rFonts w:ascii="Adobe Garamond Pro" w:eastAsia="Times New Roman" w:hAnsi="Adobe Garamond Pro" w:cs="Times New Roman"/>
          <w:kern w:val="2"/>
          <w14:ligatures w14:val="standardContextual"/>
        </w:rPr>
      </w:pPr>
      <m:oMath>
        <m:sSub>
          <m:sSubPr>
            <m:ctrlPr>
              <w:rPr>
                <w:rFonts w:ascii="Cambria Math" w:eastAsia="Times New Roman" w:hAnsi="Cambria Math" w:cs="Times New Roman"/>
                <w:i/>
                <w:kern w:val="2"/>
                <w14:ligatures w14:val="standardContextual"/>
              </w:rPr>
            </m:ctrlPr>
          </m:sSubPr>
          <m:e>
            <m:r>
              <w:rPr>
                <w:rFonts w:ascii="Cambria Math" w:eastAsia="Times New Roman" w:hAnsi="Cambria Math" w:cs="Times New Roman"/>
                <w:kern w:val="2"/>
                <w14:ligatures w14:val="standardContextual"/>
              </w:rPr>
              <m:t>PV</m:t>
            </m:r>
          </m:e>
          <m:sub>
            <m:r>
              <w:rPr>
                <w:rFonts w:ascii="Cambria Math" w:eastAsia="Times New Roman" w:hAnsi="Cambria Math" w:cs="Times New Roman"/>
                <w:kern w:val="2"/>
                <w14:ligatures w14:val="standardContextual"/>
              </w:rPr>
              <m:t>1</m:t>
            </m:r>
          </m:sub>
        </m:sSub>
        <m:r>
          <w:rPr>
            <w:rFonts w:ascii="Cambria Math" w:eastAsia="Cambria Math" w:hAnsi="Cambria Math" w:cs="Times New Roman"/>
            <w:kern w:val="2"/>
            <w14:ligatures w14:val="standardContextual"/>
          </w:rPr>
          <m:t>=</m:t>
        </m:r>
        <m:f>
          <m:fPr>
            <m:ctrlPr>
              <w:rPr>
                <w:rFonts w:ascii="Cambria Math" w:eastAsia="Times New Roman" w:hAnsi="Cambria Math" w:cs="Times New Roman"/>
                <w:kern w:val="2"/>
                <w14:ligatures w14:val="standardContextual"/>
              </w:rPr>
            </m:ctrlPr>
          </m:fPr>
          <m:num>
            <m:r>
              <w:rPr>
                <w:rFonts w:ascii="Cambria Math" w:eastAsia="Times New Roman" w:hAnsi="Cambria Math" w:cs="Times New Roman"/>
                <w:kern w:val="2"/>
                <w14:ligatures w14:val="standardContextual"/>
              </w:rPr>
              <m:t>Rp24.000.000</m:t>
            </m:r>
          </m:num>
          <m:den>
            <m:sSup>
              <m:sSupPr>
                <m:ctrlPr>
                  <w:rPr>
                    <w:rFonts w:ascii="Cambria Math" w:eastAsia="Times New Roman" w:hAnsi="Cambria Math" w:cs="Times New Roman"/>
                    <w:i/>
                    <w:kern w:val="2"/>
                    <w14:ligatures w14:val="standardContextual"/>
                  </w:rPr>
                </m:ctrlPr>
              </m:sSupPr>
              <m:e>
                <m:r>
                  <w:rPr>
                    <w:rFonts w:ascii="Cambria Math" w:eastAsia="Times New Roman" w:hAnsi="Cambria Math" w:cs="Times New Roman"/>
                    <w:kern w:val="2"/>
                    <w14:ligatures w14:val="standardContextual"/>
                  </w:rPr>
                  <m:t>(1+0,10)</m:t>
                </m:r>
              </m:e>
              <m:sup>
                <m:r>
                  <w:rPr>
                    <w:rFonts w:ascii="Cambria Math" w:eastAsia="Times New Roman" w:hAnsi="Cambria Math" w:cs="Times New Roman"/>
                    <w:kern w:val="2"/>
                    <w14:ligatures w14:val="standardContextual"/>
                  </w:rPr>
                  <m:t>1</m:t>
                </m:r>
              </m:sup>
            </m:sSup>
          </m:den>
        </m:f>
        <m:r>
          <w:rPr>
            <w:rFonts w:ascii="Cambria Math" w:eastAsia="Times New Roman" w:hAnsi="Cambria Math" w:cs="Times New Roman"/>
            <w:kern w:val="2"/>
            <w14:ligatures w14:val="standardContextual"/>
          </w:rPr>
          <m:t xml:space="preserve">= </m:t>
        </m:r>
        <m:f>
          <m:fPr>
            <m:ctrlPr>
              <w:rPr>
                <w:rFonts w:ascii="Cambria Math" w:eastAsia="Times New Roman" w:hAnsi="Cambria Math" w:cs="Times New Roman"/>
                <w:i/>
                <w:kern w:val="2"/>
                <w14:ligatures w14:val="standardContextual"/>
              </w:rPr>
            </m:ctrlPr>
          </m:fPr>
          <m:num>
            <m:r>
              <w:rPr>
                <w:rFonts w:ascii="Cambria Math" w:eastAsia="Times New Roman" w:hAnsi="Cambria Math" w:cs="Times New Roman"/>
                <w:kern w:val="2"/>
                <w14:ligatures w14:val="standardContextual"/>
              </w:rPr>
              <m:t>Rp24.000.000</m:t>
            </m:r>
          </m:num>
          <m:den>
            <m:r>
              <w:rPr>
                <w:rFonts w:ascii="Cambria Math" w:eastAsia="Times New Roman" w:hAnsi="Cambria Math" w:cs="Times New Roman"/>
                <w:kern w:val="2"/>
                <w14:ligatures w14:val="standardContextual"/>
              </w:rPr>
              <m:t>1,1</m:t>
            </m:r>
          </m:den>
        </m:f>
      </m:oMath>
      <w:r w:rsidR="00BD31BA" w:rsidRPr="00540B9F">
        <w:rPr>
          <w:rFonts w:ascii="Adobe Garamond Pro" w:eastAsia="Times New Roman" w:hAnsi="Adobe Garamond Pro" w:cs="Times New Roman"/>
          <w:kern w:val="2"/>
          <w14:ligatures w14:val="standardContextual"/>
        </w:rPr>
        <w:t xml:space="preserve"> = Rp21.818.182</w:t>
      </w:r>
    </w:p>
    <w:p w14:paraId="5C0C8D2D" w14:textId="77777777" w:rsidR="00BD31BA" w:rsidRPr="00540B9F" w:rsidRDefault="00BD31BA" w:rsidP="00540B9F">
      <w:pPr>
        <w:spacing w:line="360" w:lineRule="auto"/>
        <w:jc w:val="both"/>
        <w:rPr>
          <w:rFonts w:ascii="Adobe Garamond Pro" w:eastAsia="Times New Roman" w:hAnsi="Adobe Garamond Pro" w:cs="Times New Roman"/>
          <w:kern w:val="2"/>
          <w14:ligatures w14:val="standardContextual"/>
        </w:rPr>
      </w:pPr>
      <w:r w:rsidRPr="00540B9F">
        <w:rPr>
          <w:rFonts w:ascii="Adobe Garamond Pro" w:eastAsia="Times New Roman" w:hAnsi="Adobe Garamond Pro" w:cs="Times New Roman"/>
          <w:kern w:val="2"/>
          <w14:ligatures w14:val="standardContextual"/>
        </w:rPr>
        <w:t>Year 2:</w:t>
      </w:r>
    </w:p>
    <w:p w14:paraId="6890CE6A" w14:textId="77777777" w:rsidR="00BD31BA" w:rsidRPr="00540B9F" w:rsidRDefault="00000000" w:rsidP="00540B9F">
      <w:pPr>
        <w:spacing w:line="360" w:lineRule="auto"/>
        <w:ind w:left="1636"/>
        <w:contextualSpacing/>
        <w:jc w:val="both"/>
        <w:rPr>
          <w:rFonts w:ascii="Adobe Garamond Pro" w:eastAsia="Times New Roman" w:hAnsi="Adobe Garamond Pro" w:cs="Times New Roman"/>
          <w:kern w:val="2"/>
          <w14:ligatures w14:val="standardContextual"/>
        </w:rPr>
      </w:pPr>
      <m:oMath>
        <m:sSub>
          <m:sSubPr>
            <m:ctrlPr>
              <w:rPr>
                <w:rFonts w:ascii="Cambria Math" w:eastAsia="Times New Roman" w:hAnsi="Cambria Math" w:cs="Times New Roman"/>
                <w:i/>
                <w:kern w:val="2"/>
                <w14:ligatures w14:val="standardContextual"/>
              </w:rPr>
            </m:ctrlPr>
          </m:sSubPr>
          <m:e>
            <m:r>
              <w:rPr>
                <w:rFonts w:ascii="Cambria Math" w:eastAsia="Times New Roman" w:hAnsi="Cambria Math" w:cs="Times New Roman"/>
                <w:kern w:val="2"/>
                <w14:ligatures w14:val="standardContextual"/>
              </w:rPr>
              <m:t>PV</m:t>
            </m:r>
          </m:e>
          <m:sub>
            <m:r>
              <w:rPr>
                <w:rFonts w:ascii="Cambria Math" w:eastAsia="Times New Roman" w:hAnsi="Cambria Math" w:cs="Times New Roman"/>
                <w:kern w:val="2"/>
                <w14:ligatures w14:val="standardContextual"/>
              </w:rPr>
              <m:t>2</m:t>
            </m:r>
          </m:sub>
        </m:sSub>
        <m:r>
          <w:rPr>
            <w:rFonts w:ascii="Cambria Math" w:eastAsia="Cambria Math" w:hAnsi="Cambria Math" w:cs="Times New Roman"/>
            <w:kern w:val="2"/>
            <w14:ligatures w14:val="standardContextual"/>
          </w:rPr>
          <m:t>=</m:t>
        </m:r>
        <m:f>
          <m:fPr>
            <m:ctrlPr>
              <w:rPr>
                <w:rFonts w:ascii="Cambria Math" w:eastAsia="Times New Roman" w:hAnsi="Cambria Math" w:cs="Times New Roman"/>
                <w:kern w:val="2"/>
                <w14:ligatures w14:val="standardContextual"/>
              </w:rPr>
            </m:ctrlPr>
          </m:fPr>
          <m:num>
            <m:r>
              <w:rPr>
                <w:rFonts w:ascii="Cambria Math" w:eastAsia="Times New Roman" w:hAnsi="Cambria Math" w:cs="Times New Roman"/>
                <w:kern w:val="2"/>
                <w14:ligatures w14:val="standardContextual"/>
              </w:rPr>
              <m:t>Rp24.000.000</m:t>
            </m:r>
          </m:num>
          <m:den>
            <m:sSup>
              <m:sSupPr>
                <m:ctrlPr>
                  <w:rPr>
                    <w:rFonts w:ascii="Cambria Math" w:eastAsia="Times New Roman" w:hAnsi="Cambria Math" w:cs="Times New Roman"/>
                    <w:i/>
                    <w:kern w:val="2"/>
                    <w14:ligatures w14:val="standardContextual"/>
                  </w:rPr>
                </m:ctrlPr>
              </m:sSupPr>
              <m:e>
                <m:r>
                  <w:rPr>
                    <w:rFonts w:ascii="Cambria Math" w:eastAsia="Times New Roman" w:hAnsi="Cambria Math" w:cs="Times New Roman"/>
                    <w:kern w:val="2"/>
                    <w14:ligatures w14:val="standardContextual"/>
                  </w:rPr>
                  <m:t>(1,1)</m:t>
                </m:r>
              </m:e>
              <m:sup>
                <m:r>
                  <w:rPr>
                    <w:rFonts w:ascii="Cambria Math" w:eastAsia="Times New Roman" w:hAnsi="Cambria Math" w:cs="Times New Roman"/>
                    <w:kern w:val="2"/>
                    <w14:ligatures w14:val="standardContextual"/>
                  </w:rPr>
                  <m:t>2</m:t>
                </m:r>
              </m:sup>
            </m:sSup>
          </m:den>
        </m:f>
        <m:r>
          <w:rPr>
            <w:rFonts w:ascii="Cambria Math" w:eastAsia="Times New Roman" w:hAnsi="Cambria Math" w:cs="Times New Roman"/>
            <w:kern w:val="2"/>
            <w14:ligatures w14:val="standardContextual"/>
          </w:rPr>
          <m:t xml:space="preserve">= </m:t>
        </m:r>
        <m:f>
          <m:fPr>
            <m:ctrlPr>
              <w:rPr>
                <w:rFonts w:ascii="Cambria Math" w:eastAsia="Times New Roman" w:hAnsi="Cambria Math" w:cs="Times New Roman"/>
                <w:i/>
                <w:kern w:val="2"/>
                <w14:ligatures w14:val="standardContextual"/>
              </w:rPr>
            </m:ctrlPr>
          </m:fPr>
          <m:num>
            <m:r>
              <w:rPr>
                <w:rFonts w:ascii="Cambria Math" w:eastAsia="Times New Roman" w:hAnsi="Cambria Math" w:cs="Times New Roman"/>
                <w:kern w:val="2"/>
                <w14:ligatures w14:val="standardContextual"/>
              </w:rPr>
              <m:t>Rp24.000.000</m:t>
            </m:r>
          </m:num>
          <m:den>
            <m:r>
              <w:rPr>
                <w:rFonts w:ascii="Cambria Math" w:eastAsia="Times New Roman" w:hAnsi="Cambria Math" w:cs="Times New Roman"/>
                <w:kern w:val="2"/>
                <w14:ligatures w14:val="standardContextual"/>
              </w:rPr>
              <m:t>1,21</m:t>
            </m:r>
          </m:den>
        </m:f>
      </m:oMath>
      <w:r w:rsidR="00BD31BA" w:rsidRPr="00540B9F">
        <w:rPr>
          <w:rFonts w:ascii="Adobe Garamond Pro" w:eastAsia="Times New Roman" w:hAnsi="Adobe Garamond Pro" w:cs="Times New Roman"/>
          <w:kern w:val="2"/>
          <w14:ligatures w14:val="standardContextual"/>
        </w:rPr>
        <w:t xml:space="preserve"> = Rp19.834.711</w:t>
      </w:r>
    </w:p>
    <w:p w14:paraId="164B94E6" w14:textId="77777777" w:rsidR="00BD31BA" w:rsidRPr="00540B9F" w:rsidRDefault="00BD31BA" w:rsidP="00540B9F">
      <w:pPr>
        <w:spacing w:line="360" w:lineRule="auto"/>
        <w:ind w:left="1636"/>
        <w:contextualSpacing/>
        <w:jc w:val="both"/>
        <w:rPr>
          <w:rFonts w:ascii="Adobe Garamond Pro" w:eastAsia="Times New Roman" w:hAnsi="Adobe Garamond Pro" w:cs="Times New Roman"/>
          <w:kern w:val="2"/>
          <w14:ligatures w14:val="standardContextual"/>
        </w:rPr>
      </w:pPr>
    </w:p>
    <w:p w14:paraId="6C9BED9B" w14:textId="77777777" w:rsidR="00BD31BA" w:rsidRPr="00540B9F" w:rsidRDefault="00BD31BA" w:rsidP="00540B9F">
      <w:pPr>
        <w:spacing w:line="360" w:lineRule="auto"/>
        <w:jc w:val="both"/>
        <w:rPr>
          <w:rFonts w:ascii="Adobe Garamond Pro" w:eastAsia="Times New Roman" w:hAnsi="Adobe Garamond Pro" w:cs="Times New Roman"/>
          <w:kern w:val="2"/>
          <w14:ligatures w14:val="standardContextual"/>
        </w:rPr>
      </w:pPr>
      <w:r w:rsidRPr="00540B9F">
        <w:rPr>
          <w:rFonts w:ascii="Adobe Garamond Pro" w:eastAsia="Times New Roman" w:hAnsi="Adobe Garamond Pro" w:cs="Times New Roman"/>
          <w:kern w:val="2"/>
          <w14:ligatures w14:val="standardContextual"/>
        </w:rPr>
        <w:t>Year 3:</w:t>
      </w:r>
    </w:p>
    <w:p w14:paraId="34F73A09" w14:textId="77777777" w:rsidR="00BD31BA" w:rsidRPr="00540B9F" w:rsidRDefault="00000000" w:rsidP="00540B9F">
      <w:pPr>
        <w:spacing w:line="360" w:lineRule="auto"/>
        <w:ind w:left="1636"/>
        <w:contextualSpacing/>
        <w:jc w:val="both"/>
        <w:rPr>
          <w:rFonts w:ascii="Adobe Garamond Pro" w:eastAsia="Times New Roman" w:hAnsi="Adobe Garamond Pro" w:cs="Times New Roman"/>
          <w:kern w:val="2"/>
          <w14:ligatures w14:val="standardContextual"/>
        </w:rPr>
      </w:pPr>
      <m:oMath>
        <m:sSub>
          <m:sSubPr>
            <m:ctrlPr>
              <w:rPr>
                <w:rFonts w:ascii="Cambria Math" w:eastAsia="Times New Roman" w:hAnsi="Cambria Math" w:cs="Times New Roman"/>
                <w:i/>
                <w:kern w:val="2"/>
                <w14:ligatures w14:val="standardContextual"/>
              </w:rPr>
            </m:ctrlPr>
          </m:sSubPr>
          <m:e>
            <m:r>
              <w:rPr>
                <w:rFonts w:ascii="Cambria Math" w:eastAsia="Times New Roman" w:hAnsi="Cambria Math" w:cs="Times New Roman"/>
                <w:kern w:val="2"/>
                <w14:ligatures w14:val="standardContextual"/>
              </w:rPr>
              <m:t>PV</m:t>
            </m:r>
          </m:e>
          <m:sub>
            <m:r>
              <w:rPr>
                <w:rFonts w:ascii="Cambria Math" w:eastAsia="Times New Roman" w:hAnsi="Cambria Math" w:cs="Times New Roman"/>
                <w:kern w:val="2"/>
                <w14:ligatures w14:val="standardContextual"/>
              </w:rPr>
              <m:t>3</m:t>
            </m:r>
          </m:sub>
        </m:sSub>
        <m:r>
          <w:rPr>
            <w:rFonts w:ascii="Cambria Math" w:eastAsia="Cambria Math" w:hAnsi="Cambria Math" w:cs="Times New Roman"/>
            <w:kern w:val="2"/>
            <w14:ligatures w14:val="standardContextual"/>
          </w:rPr>
          <m:t>=</m:t>
        </m:r>
        <m:f>
          <m:fPr>
            <m:ctrlPr>
              <w:rPr>
                <w:rFonts w:ascii="Cambria Math" w:eastAsia="Times New Roman" w:hAnsi="Cambria Math" w:cs="Times New Roman"/>
                <w:kern w:val="2"/>
                <w14:ligatures w14:val="standardContextual"/>
              </w:rPr>
            </m:ctrlPr>
          </m:fPr>
          <m:num>
            <m:r>
              <w:rPr>
                <w:rFonts w:ascii="Cambria Math" w:eastAsia="Times New Roman" w:hAnsi="Cambria Math" w:cs="Times New Roman"/>
                <w:kern w:val="2"/>
                <w14:ligatures w14:val="standardContextual"/>
              </w:rPr>
              <m:t>Rp24.000.000</m:t>
            </m:r>
          </m:num>
          <m:den>
            <m:sSup>
              <m:sSupPr>
                <m:ctrlPr>
                  <w:rPr>
                    <w:rFonts w:ascii="Cambria Math" w:eastAsia="Times New Roman" w:hAnsi="Cambria Math" w:cs="Times New Roman"/>
                    <w:i/>
                    <w:kern w:val="2"/>
                    <w14:ligatures w14:val="standardContextual"/>
                  </w:rPr>
                </m:ctrlPr>
              </m:sSupPr>
              <m:e>
                <m:r>
                  <w:rPr>
                    <w:rFonts w:ascii="Cambria Math" w:eastAsia="Times New Roman" w:hAnsi="Cambria Math" w:cs="Times New Roman"/>
                    <w:kern w:val="2"/>
                    <w14:ligatures w14:val="standardContextual"/>
                  </w:rPr>
                  <m:t>(1,1)</m:t>
                </m:r>
              </m:e>
              <m:sup>
                <m:r>
                  <w:rPr>
                    <w:rFonts w:ascii="Cambria Math" w:eastAsia="Times New Roman" w:hAnsi="Cambria Math" w:cs="Times New Roman"/>
                    <w:kern w:val="2"/>
                    <w14:ligatures w14:val="standardContextual"/>
                  </w:rPr>
                  <m:t>3</m:t>
                </m:r>
              </m:sup>
            </m:sSup>
          </m:den>
        </m:f>
        <m:r>
          <w:rPr>
            <w:rFonts w:ascii="Cambria Math" w:eastAsia="Times New Roman" w:hAnsi="Cambria Math" w:cs="Times New Roman"/>
            <w:kern w:val="2"/>
            <w14:ligatures w14:val="standardContextual"/>
          </w:rPr>
          <m:t xml:space="preserve">= </m:t>
        </m:r>
        <m:f>
          <m:fPr>
            <m:ctrlPr>
              <w:rPr>
                <w:rFonts w:ascii="Cambria Math" w:eastAsia="Times New Roman" w:hAnsi="Cambria Math" w:cs="Times New Roman"/>
                <w:i/>
                <w:kern w:val="2"/>
                <w14:ligatures w14:val="standardContextual"/>
              </w:rPr>
            </m:ctrlPr>
          </m:fPr>
          <m:num>
            <m:r>
              <w:rPr>
                <w:rFonts w:ascii="Cambria Math" w:eastAsia="Times New Roman" w:hAnsi="Cambria Math" w:cs="Times New Roman"/>
                <w:kern w:val="2"/>
                <w14:ligatures w14:val="standardContextual"/>
              </w:rPr>
              <m:t>Rp24.000.000</m:t>
            </m:r>
          </m:num>
          <m:den>
            <m:r>
              <w:rPr>
                <w:rFonts w:ascii="Cambria Math" w:eastAsia="Times New Roman" w:hAnsi="Cambria Math" w:cs="Times New Roman"/>
                <w:kern w:val="2"/>
                <w14:ligatures w14:val="standardContextual"/>
              </w:rPr>
              <m:t>1,331</m:t>
            </m:r>
          </m:den>
        </m:f>
      </m:oMath>
      <w:r w:rsidR="00BD31BA" w:rsidRPr="00540B9F">
        <w:rPr>
          <w:rFonts w:ascii="Adobe Garamond Pro" w:eastAsia="Times New Roman" w:hAnsi="Adobe Garamond Pro" w:cs="Times New Roman"/>
          <w:kern w:val="2"/>
          <w14:ligatures w14:val="standardContextual"/>
        </w:rPr>
        <w:t xml:space="preserve"> = Rp18.031.556</w:t>
      </w:r>
    </w:p>
    <w:p w14:paraId="0B7A4650" w14:textId="77777777" w:rsidR="00BD31BA" w:rsidRPr="00540B9F" w:rsidRDefault="00BD31BA" w:rsidP="00540B9F">
      <w:pPr>
        <w:spacing w:line="360" w:lineRule="auto"/>
        <w:ind w:left="1636"/>
        <w:contextualSpacing/>
        <w:jc w:val="both"/>
        <w:rPr>
          <w:rFonts w:ascii="Adobe Garamond Pro" w:eastAsia="Times New Roman" w:hAnsi="Adobe Garamond Pro" w:cs="Times New Roman"/>
          <w:kern w:val="2"/>
          <w14:ligatures w14:val="standardContextual"/>
        </w:rPr>
      </w:pPr>
    </w:p>
    <w:p w14:paraId="6CE812C6" w14:textId="77777777" w:rsidR="00BD31BA" w:rsidRPr="00540B9F" w:rsidRDefault="00BD31BA" w:rsidP="00540B9F">
      <w:pPr>
        <w:spacing w:line="360" w:lineRule="auto"/>
        <w:jc w:val="both"/>
        <w:rPr>
          <w:rFonts w:ascii="Adobe Garamond Pro" w:eastAsia="Times New Roman" w:hAnsi="Adobe Garamond Pro" w:cs="Times New Roman"/>
          <w:kern w:val="2"/>
          <w14:ligatures w14:val="standardContextual"/>
        </w:rPr>
      </w:pPr>
      <w:r w:rsidRPr="00540B9F">
        <w:rPr>
          <w:rFonts w:ascii="Adobe Garamond Pro" w:eastAsia="Times New Roman" w:hAnsi="Adobe Garamond Pro" w:cs="Times New Roman"/>
          <w:kern w:val="2"/>
          <w14:ligatures w14:val="standardContextual"/>
        </w:rPr>
        <w:lastRenderedPageBreak/>
        <w:t>Year 4:</w:t>
      </w:r>
    </w:p>
    <w:p w14:paraId="1E251A1C" w14:textId="77777777" w:rsidR="00BD31BA" w:rsidRPr="00540B9F" w:rsidRDefault="00000000" w:rsidP="00540B9F">
      <w:pPr>
        <w:spacing w:line="360" w:lineRule="auto"/>
        <w:ind w:left="1636"/>
        <w:contextualSpacing/>
        <w:jc w:val="both"/>
        <w:rPr>
          <w:rFonts w:ascii="Adobe Garamond Pro" w:eastAsia="Times New Roman" w:hAnsi="Adobe Garamond Pro" w:cs="Times New Roman"/>
          <w:kern w:val="2"/>
          <w14:ligatures w14:val="standardContextual"/>
        </w:rPr>
      </w:pPr>
      <m:oMath>
        <m:sSub>
          <m:sSubPr>
            <m:ctrlPr>
              <w:rPr>
                <w:rFonts w:ascii="Cambria Math" w:eastAsia="Times New Roman" w:hAnsi="Cambria Math" w:cs="Times New Roman"/>
                <w:i/>
                <w:kern w:val="2"/>
                <w14:ligatures w14:val="standardContextual"/>
              </w:rPr>
            </m:ctrlPr>
          </m:sSubPr>
          <m:e>
            <m:r>
              <w:rPr>
                <w:rFonts w:ascii="Cambria Math" w:eastAsia="Times New Roman" w:hAnsi="Cambria Math" w:cs="Times New Roman"/>
                <w:kern w:val="2"/>
                <w14:ligatures w14:val="standardContextual"/>
              </w:rPr>
              <m:t>PV</m:t>
            </m:r>
          </m:e>
          <m:sub>
            <m:r>
              <w:rPr>
                <w:rFonts w:ascii="Cambria Math" w:eastAsia="Times New Roman" w:hAnsi="Cambria Math" w:cs="Times New Roman"/>
                <w:kern w:val="2"/>
                <w14:ligatures w14:val="standardContextual"/>
              </w:rPr>
              <m:t>4</m:t>
            </m:r>
          </m:sub>
        </m:sSub>
        <m:r>
          <w:rPr>
            <w:rFonts w:ascii="Cambria Math" w:eastAsia="Cambria Math" w:hAnsi="Cambria Math" w:cs="Times New Roman"/>
            <w:kern w:val="2"/>
            <w14:ligatures w14:val="standardContextual"/>
          </w:rPr>
          <m:t>=</m:t>
        </m:r>
        <m:f>
          <m:fPr>
            <m:ctrlPr>
              <w:rPr>
                <w:rFonts w:ascii="Cambria Math" w:eastAsia="Times New Roman" w:hAnsi="Cambria Math" w:cs="Times New Roman"/>
                <w:kern w:val="2"/>
                <w14:ligatures w14:val="standardContextual"/>
              </w:rPr>
            </m:ctrlPr>
          </m:fPr>
          <m:num>
            <m:r>
              <w:rPr>
                <w:rFonts w:ascii="Cambria Math" w:eastAsia="Times New Roman" w:hAnsi="Cambria Math" w:cs="Times New Roman"/>
                <w:kern w:val="2"/>
                <w14:ligatures w14:val="standardContextual"/>
              </w:rPr>
              <m:t>Rp24.000.000</m:t>
            </m:r>
          </m:num>
          <m:den>
            <m:sSup>
              <m:sSupPr>
                <m:ctrlPr>
                  <w:rPr>
                    <w:rFonts w:ascii="Cambria Math" w:eastAsia="Times New Roman" w:hAnsi="Cambria Math" w:cs="Times New Roman"/>
                    <w:i/>
                    <w:kern w:val="2"/>
                    <w14:ligatures w14:val="standardContextual"/>
                  </w:rPr>
                </m:ctrlPr>
              </m:sSupPr>
              <m:e>
                <m:r>
                  <w:rPr>
                    <w:rFonts w:ascii="Cambria Math" w:eastAsia="Times New Roman" w:hAnsi="Cambria Math" w:cs="Times New Roman"/>
                    <w:kern w:val="2"/>
                    <w14:ligatures w14:val="standardContextual"/>
                  </w:rPr>
                  <m:t>(1,1)</m:t>
                </m:r>
              </m:e>
              <m:sup>
                <m:r>
                  <w:rPr>
                    <w:rFonts w:ascii="Cambria Math" w:eastAsia="Times New Roman" w:hAnsi="Cambria Math" w:cs="Times New Roman"/>
                    <w:kern w:val="2"/>
                    <w14:ligatures w14:val="standardContextual"/>
                  </w:rPr>
                  <m:t>4</m:t>
                </m:r>
              </m:sup>
            </m:sSup>
          </m:den>
        </m:f>
        <m:r>
          <w:rPr>
            <w:rFonts w:ascii="Cambria Math" w:eastAsia="Times New Roman" w:hAnsi="Cambria Math" w:cs="Times New Roman"/>
            <w:kern w:val="2"/>
            <w14:ligatures w14:val="standardContextual"/>
          </w:rPr>
          <m:t xml:space="preserve">= </m:t>
        </m:r>
        <m:f>
          <m:fPr>
            <m:ctrlPr>
              <w:rPr>
                <w:rFonts w:ascii="Cambria Math" w:eastAsia="Times New Roman" w:hAnsi="Cambria Math" w:cs="Times New Roman"/>
                <w:i/>
                <w:kern w:val="2"/>
                <w14:ligatures w14:val="standardContextual"/>
              </w:rPr>
            </m:ctrlPr>
          </m:fPr>
          <m:num>
            <m:r>
              <w:rPr>
                <w:rFonts w:ascii="Cambria Math" w:eastAsia="Times New Roman" w:hAnsi="Cambria Math" w:cs="Times New Roman"/>
                <w:kern w:val="2"/>
                <w14:ligatures w14:val="standardContextual"/>
              </w:rPr>
              <m:t>Rp24.000.000</m:t>
            </m:r>
          </m:num>
          <m:den>
            <m:r>
              <w:rPr>
                <w:rFonts w:ascii="Cambria Math" w:eastAsia="Times New Roman" w:hAnsi="Cambria Math" w:cs="Times New Roman"/>
                <w:kern w:val="2"/>
                <w14:ligatures w14:val="standardContextual"/>
              </w:rPr>
              <m:t>1,4641</m:t>
            </m:r>
          </m:den>
        </m:f>
      </m:oMath>
      <w:r w:rsidR="00BD31BA" w:rsidRPr="00540B9F">
        <w:rPr>
          <w:rFonts w:ascii="Adobe Garamond Pro" w:eastAsia="Times New Roman" w:hAnsi="Adobe Garamond Pro" w:cs="Times New Roman"/>
          <w:kern w:val="2"/>
          <w14:ligatures w14:val="standardContextual"/>
        </w:rPr>
        <w:t xml:space="preserve"> = Rp16.392.323</w:t>
      </w:r>
    </w:p>
    <w:p w14:paraId="10677878" w14:textId="77777777" w:rsidR="00BD31BA" w:rsidRPr="00540B9F" w:rsidRDefault="00BD31BA" w:rsidP="00540B9F">
      <w:pPr>
        <w:spacing w:line="360" w:lineRule="auto"/>
        <w:ind w:left="1636"/>
        <w:contextualSpacing/>
        <w:jc w:val="both"/>
        <w:rPr>
          <w:rFonts w:ascii="Adobe Garamond Pro" w:eastAsia="Times New Roman" w:hAnsi="Adobe Garamond Pro" w:cs="Times New Roman"/>
          <w:kern w:val="2"/>
          <w14:ligatures w14:val="standardContextual"/>
        </w:rPr>
      </w:pPr>
    </w:p>
    <w:p w14:paraId="6C855454" w14:textId="77777777" w:rsidR="00BD31BA" w:rsidRPr="00540B9F" w:rsidRDefault="00BD31BA" w:rsidP="00540B9F">
      <w:pPr>
        <w:spacing w:line="360" w:lineRule="auto"/>
        <w:jc w:val="both"/>
        <w:rPr>
          <w:rFonts w:ascii="Adobe Garamond Pro" w:eastAsia="Times New Roman" w:hAnsi="Adobe Garamond Pro" w:cs="Times New Roman"/>
          <w:kern w:val="2"/>
          <w14:ligatures w14:val="standardContextual"/>
        </w:rPr>
      </w:pPr>
      <w:r w:rsidRPr="00540B9F">
        <w:rPr>
          <w:rFonts w:ascii="Adobe Garamond Pro" w:eastAsia="Times New Roman" w:hAnsi="Adobe Garamond Pro" w:cs="Times New Roman"/>
          <w:kern w:val="2"/>
          <w14:ligatures w14:val="standardContextual"/>
        </w:rPr>
        <w:t>Year 5:</w:t>
      </w:r>
    </w:p>
    <w:p w14:paraId="52011852" w14:textId="77777777" w:rsidR="00BD31BA" w:rsidRPr="00540B9F" w:rsidRDefault="00000000" w:rsidP="00540B9F">
      <w:pPr>
        <w:spacing w:line="360" w:lineRule="auto"/>
        <w:ind w:left="1636"/>
        <w:contextualSpacing/>
        <w:jc w:val="both"/>
        <w:rPr>
          <w:rFonts w:ascii="Adobe Garamond Pro" w:eastAsia="Times New Roman" w:hAnsi="Adobe Garamond Pro" w:cs="Times New Roman"/>
          <w:kern w:val="2"/>
          <w14:ligatures w14:val="standardContextual"/>
        </w:rPr>
      </w:pPr>
      <m:oMath>
        <m:sSub>
          <m:sSubPr>
            <m:ctrlPr>
              <w:rPr>
                <w:rFonts w:ascii="Cambria Math" w:eastAsia="Times New Roman" w:hAnsi="Cambria Math" w:cs="Times New Roman"/>
                <w:i/>
                <w:kern w:val="2"/>
                <w14:ligatures w14:val="standardContextual"/>
              </w:rPr>
            </m:ctrlPr>
          </m:sSubPr>
          <m:e>
            <m:r>
              <w:rPr>
                <w:rFonts w:ascii="Cambria Math" w:eastAsia="Times New Roman" w:hAnsi="Cambria Math" w:cs="Times New Roman"/>
                <w:kern w:val="2"/>
                <w14:ligatures w14:val="standardContextual"/>
              </w:rPr>
              <m:t>PV</m:t>
            </m:r>
          </m:e>
          <m:sub>
            <m:r>
              <w:rPr>
                <w:rFonts w:ascii="Cambria Math" w:eastAsia="Times New Roman" w:hAnsi="Cambria Math" w:cs="Times New Roman"/>
                <w:kern w:val="2"/>
                <w14:ligatures w14:val="standardContextual"/>
              </w:rPr>
              <m:t>5</m:t>
            </m:r>
          </m:sub>
        </m:sSub>
        <m:r>
          <w:rPr>
            <w:rFonts w:ascii="Cambria Math" w:eastAsia="Cambria Math" w:hAnsi="Cambria Math" w:cs="Times New Roman"/>
            <w:kern w:val="2"/>
            <w14:ligatures w14:val="standardContextual"/>
          </w:rPr>
          <m:t>=</m:t>
        </m:r>
        <m:f>
          <m:fPr>
            <m:ctrlPr>
              <w:rPr>
                <w:rFonts w:ascii="Cambria Math" w:eastAsia="Times New Roman" w:hAnsi="Cambria Math" w:cs="Times New Roman"/>
                <w:kern w:val="2"/>
                <w14:ligatures w14:val="standardContextual"/>
              </w:rPr>
            </m:ctrlPr>
          </m:fPr>
          <m:num>
            <m:r>
              <w:rPr>
                <w:rFonts w:ascii="Cambria Math" w:eastAsia="Times New Roman" w:hAnsi="Cambria Math" w:cs="Times New Roman"/>
                <w:kern w:val="2"/>
                <w14:ligatures w14:val="standardContextual"/>
              </w:rPr>
              <m:t>Rp24.000.000</m:t>
            </m:r>
          </m:num>
          <m:den>
            <m:sSup>
              <m:sSupPr>
                <m:ctrlPr>
                  <w:rPr>
                    <w:rFonts w:ascii="Cambria Math" w:eastAsia="Times New Roman" w:hAnsi="Cambria Math" w:cs="Times New Roman"/>
                    <w:i/>
                    <w:kern w:val="2"/>
                    <w14:ligatures w14:val="standardContextual"/>
                  </w:rPr>
                </m:ctrlPr>
              </m:sSupPr>
              <m:e>
                <m:r>
                  <w:rPr>
                    <w:rFonts w:ascii="Cambria Math" w:eastAsia="Times New Roman" w:hAnsi="Cambria Math" w:cs="Times New Roman"/>
                    <w:kern w:val="2"/>
                    <w14:ligatures w14:val="standardContextual"/>
                  </w:rPr>
                  <m:t>(1,1)</m:t>
                </m:r>
              </m:e>
              <m:sup>
                <m:r>
                  <w:rPr>
                    <w:rFonts w:ascii="Cambria Math" w:eastAsia="Times New Roman" w:hAnsi="Cambria Math" w:cs="Times New Roman"/>
                    <w:kern w:val="2"/>
                    <w14:ligatures w14:val="standardContextual"/>
                  </w:rPr>
                  <m:t>5</m:t>
                </m:r>
              </m:sup>
            </m:sSup>
          </m:den>
        </m:f>
        <m:r>
          <w:rPr>
            <w:rFonts w:ascii="Cambria Math" w:eastAsia="Times New Roman" w:hAnsi="Cambria Math" w:cs="Times New Roman"/>
            <w:kern w:val="2"/>
            <w14:ligatures w14:val="standardContextual"/>
          </w:rPr>
          <m:t xml:space="preserve">= </m:t>
        </m:r>
        <m:f>
          <m:fPr>
            <m:ctrlPr>
              <w:rPr>
                <w:rFonts w:ascii="Cambria Math" w:eastAsia="Times New Roman" w:hAnsi="Cambria Math" w:cs="Times New Roman"/>
                <w:i/>
                <w:kern w:val="2"/>
                <w14:ligatures w14:val="standardContextual"/>
              </w:rPr>
            </m:ctrlPr>
          </m:fPr>
          <m:num>
            <m:r>
              <w:rPr>
                <w:rFonts w:ascii="Cambria Math" w:eastAsia="Times New Roman" w:hAnsi="Cambria Math" w:cs="Times New Roman"/>
                <w:kern w:val="2"/>
                <w14:ligatures w14:val="standardContextual"/>
              </w:rPr>
              <m:t>Rp24.000.000</m:t>
            </m:r>
          </m:num>
          <m:den>
            <m:r>
              <w:rPr>
                <w:rFonts w:ascii="Cambria Math" w:eastAsia="Times New Roman" w:hAnsi="Cambria Math" w:cs="Times New Roman"/>
                <w:kern w:val="2"/>
                <w14:ligatures w14:val="standardContextual"/>
              </w:rPr>
              <m:t>1,61051</m:t>
            </m:r>
          </m:den>
        </m:f>
      </m:oMath>
      <w:r w:rsidR="00BD31BA" w:rsidRPr="00540B9F">
        <w:rPr>
          <w:rFonts w:ascii="Adobe Garamond Pro" w:eastAsia="Times New Roman" w:hAnsi="Adobe Garamond Pro" w:cs="Times New Roman"/>
          <w:kern w:val="2"/>
          <w14:ligatures w14:val="standardContextual"/>
        </w:rPr>
        <w:t xml:space="preserve"> = Rp14.902.112</w:t>
      </w:r>
    </w:p>
    <w:p w14:paraId="0F0EDABB" w14:textId="77777777" w:rsidR="00BD31BA" w:rsidRPr="00540B9F" w:rsidRDefault="00BD31BA" w:rsidP="00540B9F">
      <w:pPr>
        <w:spacing w:line="360" w:lineRule="auto"/>
        <w:jc w:val="both"/>
        <w:rPr>
          <w:rFonts w:ascii="Adobe Garamond Pro" w:hAnsi="Adobe Garamond Pro" w:cs="Times New Roman"/>
        </w:rPr>
      </w:pPr>
    </w:p>
    <w:p w14:paraId="7776E498" w14:textId="6762AACD" w:rsidR="00BD31BA" w:rsidRPr="00540B9F" w:rsidRDefault="00BD31BA" w:rsidP="002544F2">
      <w:pPr>
        <w:spacing w:line="360" w:lineRule="auto"/>
        <w:ind w:firstLine="720"/>
        <w:jc w:val="both"/>
        <w:rPr>
          <w:rFonts w:ascii="Adobe Garamond Pro" w:hAnsi="Adobe Garamond Pro" w:cs="Times New Roman"/>
        </w:rPr>
      </w:pPr>
      <w:r w:rsidRPr="00540B9F">
        <w:rPr>
          <w:rFonts w:ascii="Adobe Garamond Pro" w:hAnsi="Adobe Garamond Pro" w:cs="Times New Roman"/>
        </w:rPr>
        <w:t xml:space="preserve">The calculation results show NPV = IDR 90,978,884 – IDR 5,000,000 = IDR 85,978,884 (Positive). Because the NPV is &gt; 0, the investment is feasible and has the potential to provide significant profits over the next 5 years. Research </w:t>
      </w:r>
      <w:r w:rsidRPr="00540B9F">
        <w:rPr>
          <w:rFonts w:ascii="Adobe Garamond Pro" w:hAnsi="Adobe Garamond Pro" w:cs="Times New Roman"/>
        </w:rPr>
        <w:fldChar w:fldCharType="begin" w:fldLock="1"/>
      </w:r>
      <w:r w:rsidR="00C40B61">
        <w:rPr>
          <w:rFonts w:ascii="Adobe Garamond Pro" w:hAnsi="Adobe Garamond Pro" w:cs="Times New Roman"/>
        </w:rPr>
        <w:instrText>ADDIN CSL_CITATION {"citationItems":[{"id":"ITEM-1","itemData":{"author":[{"dropping-particle":"","family":"Lorenzo","given":"Hannah","non-dropping-particle":"","parse-names":false,"suffix":""}],"container-title":"Maliki Journal of Innovation and Entrepreneurship","id":"ITEM-1","issued":{"date-parts":[["2024"]]},"title":"Mapping Asian And Asian-American Community Formations In Hartford Through Culturally-Related Businesses","type":"article-journal"},"uris":["http://www.mendeley.com/documents/?uuid=685cea70-fbed-4ac3-9895-dbb9b1289740","http://www.mendeley.com/documents/?uuid=e9c66584-4c44-4db5-9198-2359cc6762ca"]}],"mendeley":{"formattedCitation":"(Lorenzo 2024)","manualFormatting":"Lorenzo (2024)","plainTextFormattedCitation":"(Lorenzo 2024)","previouslyFormattedCitation":"(Lorenzo 2024)"},"properties":{"noteIndex":0},"schema":"https://github.com/citation-style-language/schema/raw/master/csl-citation.json"}</w:instrText>
      </w:r>
      <w:r w:rsidRPr="00540B9F">
        <w:rPr>
          <w:rFonts w:ascii="Adobe Garamond Pro" w:hAnsi="Adobe Garamond Pro" w:cs="Times New Roman"/>
        </w:rPr>
        <w:fldChar w:fldCharType="separate"/>
      </w:r>
      <w:r w:rsidRPr="00540B9F">
        <w:rPr>
          <w:rFonts w:ascii="Adobe Garamond Pro" w:hAnsi="Adobe Garamond Pro" w:cs="Times New Roman"/>
          <w:noProof/>
        </w:rPr>
        <w:t>Lorenzo (2024)</w:t>
      </w:r>
      <w:r w:rsidRPr="00540B9F">
        <w:rPr>
          <w:rFonts w:ascii="Adobe Garamond Pro" w:hAnsi="Adobe Garamond Pro" w:cs="Times New Roman"/>
        </w:rPr>
        <w:fldChar w:fldCharType="end"/>
      </w:r>
      <w:r w:rsidRPr="00540B9F">
        <w:rPr>
          <w:rFonts w:ascii="Adobe Garamond Pro" w:hAnsi="Adobe Garamond Pro" w:cs="Times New Roman"/>
        </w:rPr>
        <w:t xml:space="preserve"> supported this result by stating that MSMEs with positive NPV tend to have stronger financial resilience to raw material fluctuations.</w:t>
      </w:r>
    </w:p>
    <w:p w14:paraId="272C8B50" w14:textId="77777777" w:rsidR="00BD31BA" w:rsidRPr="00540B9F" w:rsidRDefault="00BD31BA" w:rsidP="00540B9F">
      <w:pPr>
        <w:spacing w:line="360" w:lineRule="auto"/>
        <w:jc w:val="both"/>
        <w:rPr>
          <w:rFonts w:ascii="Adobe Garamond Pro" w:eastAsia="Calibri" w:hAnsi="Adobe Garamond Pro" w:cs="Times New Roman"/>
          <w:b/>
          <w:bCs/>
          <w:kern w:val="2"/>
          <w14:ligatures w14:val="standardContextual"/>
        </w:rPr>
      </w:pPr>
      <w:r w:rsidRPr="00540B9F">
        <w:rPr>
          <w:rFonts w:ascii="Adobe Garamond Pro" w:eastAsia="Calibri" w:hAnsi="Adobe Garamond Pro" w:cs="Times New Roman"/>
          <w:b/>
          <w:bCs/>
          <w:kern w:val="2"/>
          <w14:ligatures w14:val="standardContextual"/>
        </w:rPr>
        <w:t>With Net Present Value (NPV) calculation table</w:t>
      </w:r>
    </w:p>
    <w:p w14:paraId="2071F9E1" w14:textId="56531BDA" w:rsidR="006B65D5" w:rsidRPr="00540B9F" w:rsidRDefault="006B65D5" w:rsidP="00540B9F">
      <w:pPr>
        <w:pStyle w:val="Caption"/>
        <w:spacing w:after="160" w:line="360" w:lineRule="auto"/>
        <w:rPr>
          <w:rFonts w:ascii="Adobe Garamond Pro" w:hAnsi="Adobe Garamond Pro" w:cs="Times New Roman"/>
          <w:i w:val="0"/>
          <w:iCs w:val="0"/>
          <w:color w:val="auto"/>
          <w:kern w:val="2"/>
          <w:sz w:val="22"/>
          <w:szCs w:val="22"/>
          <w:lang w:val="en-US"/>
          <w14:ligatures w14:val="standardContextual"/>
        </w:rPr>
      </w:pPr>
      <w:r w:rsidRPr="00540B9F">
        <w:rPr>
          <w:rFonts w:ascii="Adobe Garamond Pro" w:hAnsi="Adobe Garamond Pro" w:cs="Times New Roman"/>
          <w:b/>
          <w:bCs/>
          <w:i w:val="0"/>
          <w:iCs w:val="0"/>
          <w:color w:val="auto"/>
          <w:sz w:val="22"/>
          <w:szCs w:val="22"/>
        </w:rPr>
        <w:t xml:space="preserve">Tabel </w:t>
      </w:r>
      <w:r w:rsidRPr="00540B9F">
        <w:rPr>
          <w:rFonts w:ascii="Adobe Garamond Pro" w:hAnsi="Adobe Garamond Pro" w:cs="Times New Roman"/>
          <w:b/>
          <w:bCs/>
          <w:i w:val="0"/>
          <w:iCs w:val="0"/>
          <w:color w:val="auto"/>
          <w:sz w:val="22"/>
          <w:szCs w:val="22"/>
        </w:rPr>
        <w:fldChar w:fldCharType="begin"/>
      </w:r>
      <w:r w:rsidRPr="00540B9F">
        <w:rPr>
          <w:rFonts w:ascii="Adobe Garamond Pro" w:hAnsi="Adobe Garamond Pro" w:cs="Times New Roman"/>
          <w:b/>
          <w:bCs/>
          <w:i w:val="0"/>
          <w:iCs w:val="0"/>
          <w:color w:val="auto"/>
          <w:sz w:val="22"/>
          <w:szCs w:val="22"/>
        </w:rPr>
        <w:instrText xml:space="preserve"> SEQ Tabel_1. \* ARABIC </w:instrText>
      </w:r>
      <w:r w:rsidRPr="00540B9F">
        <w:rPr>
          <w:rFonts w:ascii="Adobe Garamond Pro" w:hAnsi="Adobe Garamond Pro" w:cs="Times New Roman"/>
          <w:b/>
          <w:bCs/>
          <w:i w:val="0"/>
          <w:iCs w:val="0"/>
          <w:color w:val="auto"/>
          <w:sz w:val="22"/>
          <w:szCs w:val="22"/>
        </w:rPr>
        <w:fldChar w:fldCharType="separate"/>
      </w:r>
      <w:r w:rsidRPr="00540B9F">
        <w:rPr>
          <w:rFonts w:ascii="Adobe Garamond Pro" w:hAnsi="Adobe Garamond Pro" w:cs="Times New Roman"/>
          <w:b/>
          <w:bCs/>
          <w:i w:val="0"/>
          <w:iCs w:val="0"/>
          <w:noProof/>
          <w:color w:val="auto"/>
          <w:sz w:val="22"/>
          <w:szCs w:val="22"/>
        </w:rPr>
        <w:t>3</w:t>
      </w:r>
      <w:r w:rsidRPr="00540B9F">
        <w:rPr>
          <w:rFonts w:ascii="Adobe Garamond Pro" w:hAnsi="Adobe Garamond Pro" w:cs="Times New Roman"/>
          <w:b/>
          <w:bCs/>
          <w:i w:val="0"/>
          <w:iCs w:val="0"/>
          <w:color w:val="auto"/>
          <w:sz w:val="22"/>
          <w:szCs w:val="22"/>
        </w:rPr>
        <w:fldChar w:fldCharType="end"/>
      </w:r>
      <w:r w:rsidRPr="00540B9F">
        <w:rPr>
          <w:rFonts w:ascii="Adobe Garamond Pro" w:hAnsi="Adobe Garamond Pro" w:cs="Times New Roman"/>
          <w:b/>
          <w:bCs/>
          <w:i w:val="0"/>
          <w:iCs w:val="0"/>
          <w:color w:val="auto"/>
          <w:sz w:val="22"/>
          <w:szCs w:val="22"/>
          <w:lang w:val="en-US"/>
        </w:rPr>
        <w:t>.</w:t>
      </w:r>
      <w:r w:rsidRPr="00540B9F">
        <w:rPr>
          <w:rFonts w:ascii="Adobe Garamond Pro" w:hAnsi="Adobe Garamond Pro" w:cs="Times New Roman"/>
          <w:i w:val="0"/>
          <w:iCs w:val="0"/>
          <w:color w:val="auto"/>
          <w:sz w:val="22"/>
          <w:szCs w:val="22"/>
          <w:lang w:val="en-US"/>
        </w:rPr>
        <w:t xml:space="preserve"> Calculation Net Present Value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
        <w:gridCol w:w="2448"/>
        <w:gridCol w:w="2707"/>
        <w:gridCol w:w="2953"/>
      </w:tblGrid>
      <w:tr w:rsidR="00BD31BA" w:rsidRPr="00BD31BA" w14:paraId="01E0AAC3" w14:textId="77777777" w:rsidTr="004753F5">
        <w:trPr>
          <w:trHeight w:val="448"/>
        </w:trPr>
        <w:tc>
          <w:tcPr>
            <w:tcW w:w="963" w:type="dxa"/>
            <w:tcBorders>
              <w:top w:val="single" w:sz="4" w:space="0" w:color="auto"/>
              <w:bottom w:val="single" w:sz="4" w:space="0" w:color="auto"/>
            </w:tcBorders>
            <w:shd w:val="clear" w:color="auto" w:fill="C5E0B3"/>
            <w:vAlign w:val="center"/>
          </w:tcPr>
          <w:p w14:paraId="72E94BB5"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Year</w:t>
            </w:r>
          </w:p>
        </w:tc>
        <w:tc>
          <w:tcPr>
            <w:tcW w:w="2448" w:type="dxa"/>
            <w:tcBorders>
              <w:top w:val="single" w:sz="4" w:space="0" w:color="auto"/>
              <w:bottom w:val="single" w:sz="4" w:space="0" w:color="auto"/>
            </w:tcBorders>
            <w:shd w:val="clear" w:color="auto" w:fill="C5E0B3"/>
            <w:vAlign w:val="center"/>
          </w:tcPr>
          <w:p w14:paraId="7B0A622D"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Cash Flow (CFt)</w:t>
            </w:r>
          </w:p>
        </w:tc>
        <w:tc>
          <w:tcPr>
            <w:tcW w:w="2707" w:type="dxa"/>
            <w:tcBorders>
              <w:top w:val="single" w:sz="4" w:space="0" w:color="auto"/>
              <w:bottom w:val="single" w:sz="4" w:space="0" w:color="auto"/>
            </w:tcBorders>
            <w:shd w:val="clear" w:color="auto" w:fill="C5E0B3"/>
            <w:vAlign w:val="center"/>
          </w:tcPr>
          <w:p w14:paraId="58654943"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Discount (10%)</w:t>
            </w:r>
          </w:p>
        </w:tc>
        <w:tc>
          <w:tcPr>
            <w:tcW w:w="2953" w:type="dxa"/>
            <w:tcBorders>
              <w:top w:val="single" w:sz="4" w:space="0" w:color="auto"/>
              <w:bottom w:val="single" w:sz="4" w:space="0" w:color="auto"/>
            </w:tcBorders>
            <w:shd w:val="clear" w:color="auto" w:fill="C5E0B3"/>
            <w:vAlign w:val="center"/>
          </w:tcPr>
          <w:p w14:paraId="40B8855A"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Value Now</w:t>
            </w:r>
          </w:p>
        </w:tc>
      </w:tr>
      <w:tr w:rsidR="00BD31BA" w:rsidRPr="00BD31BA" w14:paraId="251BE453" w14:textId="77777777" w:rsidTr="004753F5">
        <w:trPr>
          <w:trHeight w:val="408"/>
        </w:trPr>
        <w:tc>
          <w:tcPr>
            <w:tcW w:w="963" w:type="dxa"/>
            <w:tcBorders>
              <w:top w:val="single" w:sz="4" w:space="0" w:color="auto"/>
            </w:tcBorders>
            <w:vAlign w:val="center"/>
          </w:tcPr>
          <w:p w14:paraId="23039EE2"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1</w:t>
            </w:r>
          </w:p>
        </w:tc>
        <w:tc>
          <w:tcPr>
            <w:tcW w:w="2448" w:type="dxa"/>
            <w:tcBorders>
              <w:top w:val="single" w:sz="4" w:space="0" w:color="auto"/>
            </w:tcBorders>
            <w:vAlign w:val="center"/>
          </w:tcPr>
          <w:p w14:paraId="5CF305BD"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707" w:type="dxa"/>
            <w:tcBorders>
              <w:top w:val="single" w:sz="4" w:space="0" w:color="auto"/>
            </w:tcBorders>
            <w:vAlign w:val="center"/>
          </w:tcPr>
          <w:p w14:paraId="723018FF"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0,9091</w:t>
            </w:r>
          </w:p>
        </w:tc>
        <w:tc>
          <w:tcPr>
            <w:tcW w:w="2953" w:type="dxa"/>
            <w:tcBorders>
              <w:top w:val="single" w:sz="4" w:space="0" w:color="auto"/>
            </w:tcBorders>
          </w:tcPr>
          <w:p w14:paraId="3A3BD9B6" w14:textId="77777777" w:rsidR="00BD31BA" w:rsidRPr="00BD31BA" w:rsidRDefault="00BD31BA" w:rsidP="00BD31BA">
            <w:pPr>
              <w:spacing w:line="360" w:lineRule="auto"/>
              <w:ind w:left="1134"/>
              <w:jc w:val="both"/>
              <w:rPr>
                <w:rFonts w:ascii="Adobe Garamond Pro" w:eastAsia="Calibri" w:hAnsi="Adobe Garamond Pro" w:cs="Times New Roman"/>
              </w:rPr>
            </w:pPr>
            <w:r w:rsidRPr="00BD31BA">
              <w:rPr>
                <w:rFonts w:ascii="Adobe Garamond Pro" w:eastAsia="Calibri" w:hAnsi="Adobe Garamond Pro" w:cs="Times New Roman"/>
              </w:rPr>
              <w:t>IDR 21,818,182</w:t>
            </w:r>
          </w:p>
        </w:tc>
      </w:tr>
      <w:tr w:rsidR="00BD31BA" w:rsidRPr="00BD31BA" w14:paraId="2AF9A2AB" w14:textId="77777777" w:rsidTr="004753F5">
        <w:trPr>
          <w:trHeight w:val="415"/>
        </w:trPr>
        <w:tc>
          <w:tcPr>
            <w:tcW w:w="963" w:type="dxa"/>
            <w:vAlign w:val="center"/>
          </w:tcPr>
          <w:p w14:paraId="3A130963"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2</w:t>
            </w:r>
          </w:p>
        </w:tc>
        <w:tc>
          <w:tcPr>
            <w:tcW w:w="2448" w:type="dxa"/>
            <w:vAlign w:val="center"/>
          </w:tcPr>
          <w:p w14:paraId="075BEE84"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707" w:type="dxa"/>
            <w:vAlign w:val="center"/>
          </w:tcPr>
          <w:p w14:paraId="6CD9DF5E"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0,8264</w:t>
            </w:r>
          </w:p>
        </w:tc>
        <w:tc>
          <w:tcPr>
            <w:tcW w:w="2953" w:type="dxa"/>
          </w:tcPr>
          <w:p w14:paraId="7D5B19CC" w14:textId="77777777" w:rsidR="00BD31BA" w:rsidRPr="00BD31BA" w:rsidRDefault="00BD31BA" w:rsidP="00BD31BA">
            <w:pPr>
              <w:spacing w:line="360" w:lineRule="auto"/>
              <w:ind w:left="1134"/>
              <w:jc w:val="both"/>
              <w:rPr>
                <w:rFonts w:ascii="Adobe Garamond Pro" w:eastAsia="Calibri" w:hAnsi="Adobe Garamond Pro" w:cs="Times New Roman"/>
              </w:rPr>
            </w:pPr>
            <w:r w:rsidRPr="00BD31BA">
              <w:rPr>
                <w:rFonts w:ascii="Adobe Garamond Pro" w:eastAsia="Calibri" w:hAnsi="Adobe Garamond Pro" w:cs="Times New Roman"/>
              </w:rPr>
              <w:t>IDR 19,834,711</w:t>
            </w:r>
          </w:p>
        </w:tc>
      </w:tr>
      <w:tr w:rsidR="00BD31BA" w:rsidRPr="00BD31BA" w14:paraId="03973D3E" w14:textId="77777777" w:rsidTr="004753F5">
        <w:trPr>
          <w:trHeight w:val="421"/>
        </w:trPr>
        <w:tc>
          <w:tcPr>
            <w:tcW w:w="963" w:type="dxa"/>
            <w:vAlign w:val="center"/>
          </w:tcPr>
          <w:p w14:paraId="45E241D4"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3</w:t>
            </w:r>
          </w:p>
        </w:tc>
        <w:tc>
          <w:tcPr>
            <w:tcW w:w="2448" w:type="dxa"/>
            <w:vAlign w:val="center"/>
          </w:tcPr>
          <w:p w14:paraId="14043557"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707" w:type="dxa"/>
            <w:vAlign w:val="center"/>
          </w:tcPr>
          <w:p w14:paraId="007EFD7C"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0,7513</w:t>
            </w:r>
          </w:p>
        </w:tc>
        <w:tc>
          <w:tcPr>
            <w:tcW w:w="2953" w:type="dxa"/>
          </w:tcPr>
          <w:p w14:paraId="22CF3E56" w14:textId="77777777" w:rsidR="00BD31BA" w:rsidRPr="00BD31BA" w:rsidRDefault="00BD31BA" w:rsidP="00BD31BA">
            <w:pPr>
              <w:spacing w:line="360" w:lineRule="auto"/>
              <w:ind w:left="1134"/>
              <w:jc w:val="both"/>
              <w:rPr>
                <w:rFonts w:ascii="Adobe Garamond Pro" w:eastAsia="Calibri" w:hAnsi="Adobe Garamond Pro" w:cs="Times New Roman"/>
              </w:rPr>
            </w:pPr>
            <w:r w:rsidRPr="00BD31BA">
              <w:rPr>
                <w:rFonts w:ascii="Adobe Garamond Pro" w:eastAsia="Calibri" w:hAnsi="Adobe Garamond Pro" w:cs="Times New Roman"/>
              </w:rPr>
              <w:t>IDR 18,031,556</w:t>
            </w:r>
          </w:p>
        </w:tc>
      </w:tr>
      <w:tr w:rsidR="00BD31BA" w:rsidRPr="00BD31BA" w14:paraId="545A70E7" w14:textId="77777777" w:rsidTr="004753F5">
        <w:trPr>
          <w:trHeight w:val="413"/>
        </w:trPr>
        <w:tc>
          <w:tcPr>
            <w:tcW w:w="963" w:type="dxa"/>
            <w:vAlign w:val="center"/>
          </w:tcPr>
          <w:p w14:paraId="5C1523E3"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4</w:t>
            </w:r>
          </w:p>
        </w:tc>
        <w:tc>
          <w:tcPr>
            <w:tcW w:w="2448" w:type="dxa"/>
            <w:vAlign w:val="center"/>
          </w:tcPr>
          <w:p w14:paraId="320EB20A"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707" w:type="dxa"/>
            <w:vAlign w:val="center"/>
          </w:tcPr>
          <w:p w14:paraId="78D10172"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0,6830</w:t>
            </w:r>
          </w:p>
        </w:tc>
        <w:tc>
          <w:tcPr>
            <w:tcW w:w="2953" w:type="dxa"/>
          </w:tcPr>
          <w:p w14:paraId="05316E20" w14:textId="77777777" w:rsidR="00BD31BA" w:rsidRPr="00BD31BA" w:rsidRDefault="00BD31BA" w:rsidP="00BD31BA">
            <w:pPr>
              <w:spacing w:line="360" w:lineRule="auto"/>
              <w:ind w:left="1134"/>
              <w:jc w:val="both"/>
              <w:rPr>
                <w:rFonts w:ascii="Adobe Garamond Pro" w:eastAsia="Calibri" w:hAnsi="Adobe Garamond Pro" w:cs="Times New Roman"/>
              </w:rPr>
            </w:pPr>
            <w:r w:rsidRPr="00BD31BA">
              <w:rPr>
                <w:rFonts w:ascii="Adobe Garamond Pro" w:eastAsia="Calibri" w:hAnsi="Adobe Garamond Pro" w:cs="Times New Roman"/>
              </w:rPr>
              <w:t>IDR 16,392,323</w:t>
            </w:r>
          </w:p>
        </w:tc>
      </w:tr>
      <w:tr w:rsidR="00BD31BA" w:rsidRPr="00BD31BA" w14:paraId="3E66D351" w14:textId="77777777" w:rsidTr="004753F5">
        <w:trPr>
          <w:trHeight w:val="404"/>
        </w:trPr>
        <w:tc>
          <w:tcPr>
            <w:tcW w:w="963" w:type="dxa"/>
            <w:tcBorders>
              <w:bottom w:val="single" w:sz="4" w:space="0" w:color="auto"/>
            </w:tcBorders>
            <w:vAlign w:val="center"/>
          </w:tcPr>
          <w:p w14:paraId="2CAA3F5C"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5</w:t>
            </w:r>
          </w:p>
        </w:tc>
        <w:tc>
          <w:tcPr>
            <w:tcW w:w="2448" w:type="dxa"/>
            <w:tcBorders>
              <w:bottom w:val="single" w:sz="4" w:space="0" w:color="auto"/>
            </w:tcBorders>
            <w:vAlign w:val="center"/>
          </w:tcPr>
          <w:p w14:paraId="1A4D866A"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707" w:type="dxa"/>
            <w:tcBorders>
              <w:bottom w:val="single" w:sz="4" w:space="0" w:color="auto"/>
            </w:tcBorders>
            <w:vAlign w:val="center"/>
          </w:tcPr>
          <w:p w14:paraId="2B2A49C1"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0,6209</w:t>
            </w:r>
          </w:p>
        </w:tc>
        <w:tc>
          <w:tcPr>
            <w:tcW w:w="2953" w:type="dxa"/>
            <w:tcBorders>
              <w:bottom w:val="single" w:sz="4" w:space="0" w:color="auto"/>
            </w:tcBorders>
          </w:tcPr>
          <w:p w14:paraId="105C4244" w14:textId="77777777" w:rsidR="00BD31BA" w:rsidRPr="00BD31BA" w:rsidRDefault="00BD31BA" w:rsidP="00BD31BA">
            <w:pPr>
              <w:spacing w:line="360" w:lineRule="auto"/>
              <w:ind w:left="1134"/>
              <w:jc w:val="both"/>
              <w:rPr>
                <w:rFonts w:ascii="Adobe Garamond Pro" w:eastAsia="Calibri" w:hAnsi="Adobe Garamond Pro" w:cs="Times New Roman"/>
              </w:rPr>
            </w:pPr>
            <w:r w:rsidRPr="00BD31BA">
              <w:rPr>
                <w:rFonts w:ascii="Adobe Garamond Pro" w:eastAsia="Calibri" w:hAnsi="Adobe Garamond Pro" w:cs="Times New Roman"/>
              </w:rPr>
              <w:t>IDR14.902.112</w:t>
            </w:r>
          </w:p>
        </w:tc>
      </w:tr>
      <w:tr w:rsidR="00BD31BA" w:rsidRPr="00BD31BA" w14:paraId="55741519" w14:textId="77777777" w:rsidTr="004753F5">
        <w:trPr>
          <w:trHeight w:val="391"/>
        </w:trPr>
        <w:tc>
          <w:tcPr>
            <w:tcW w:w="6118" w:type="dxa"/>
            <w:gridSpan w:val="3"/>
            <w:tcBorders>
              <w:top w:val="single" w:sz="4" w:space="0" w:color="auto"/>
              <w:bottom w:val="single" w:sz="4" w:space="0" w:color="auto"/>
            </w:tcBorders>
            <w:shd w:val="clear" w:color="auto" w:fill="C5E0B3"/>
            <w:vAlign w:val="center"/>
          </w:tcPr>
          <w:p w14:paraId="09C58F23"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Total HP (∑)</w:t>
            </w:r>
          </w:p>
        </w:tc>
        <w:tc>
          <w:tcPr>
            <w:tcW w:w="2953" w:type="dxa"/>
            <w:tcBorders>
              <w:top w:val="single" w:sz="4" w:space="0" w:color="auto"/>
              <w:bottom w:val="single" w:sz="4" w:space="0" w:color="auto"/>
            </w:tcBorders>
            <w:shd w:val="clear" w:color="auto" w:fill="C5E0B3"/>
            <w:vAlign w:val="center"/>
          </w:tcPr>
          <w:p w14:paraId="7B10FAD7" w14:textId="77777777" w:rsidR="00BD31BA" w:rsidRPr="00BD31BA" w:rsidRDefault="00BD31BA" w:rsidP="00BD31BA">
            <w:pPr>
              <w:spacing w:line="360" w:lineRule="auto"/>
              <w:ind w:left="1134"/>
              <w:jc w:val="both"/>
              <w:rPr>
                <w:rFonts w:ascii="Adobe Garamond Pro" w:eastAsia="Calibri" w:hAnsi="Adobe Garamond Pro" w:cs="Times New Roman"/>
                <w:b/>
                <w:bCs/>
              </w:rPr>
            </w:pPr>
            <w:r w:rsidRPr="00BD31BA">
              <w:rPr>
                <w:rFonts w:ascii="Adobe Garamond Pro" w:eastAsia="Calibri" w:hAnsi="Adobe Garamond Pro" w:cs="Times New Roman"/>
                <w:b/>
                <w:bCs/>
              </w:rPr>
              <w:t>IDR 90,978,884</w:t>
            </w:r>
          </w:p>
        </w:tc>
      </w:tr>
    </w:tbl>
    <w:p w14:paraId="34C0256B" w14:textId="77777777" w:rsidR="006B65D5" w:rsidRDefault="006B65D5" w:rsidP="00BD31BA">
      <w:pPr>
        <w:spacing w:line="360" w:lineRule="auto"/>
        <w:jc w:val="both"/>
        <w:rPr>
          <w:rFonts w:ascii="Adobe Garamond Pro" w:eastAsia="Calibri" w:hAnsi="Adobe Garamond Pro" w:cs="Times New Roman"/>
          <w:b/>
          <w:bCs/>
          <w:kern w:val="2"/>
          <w14:ligatures w14:val="standardContextual"/>
        </w:rPr>
      </w:pPr>
    </w:p>
    <w:p w14:paraId="5D1C6807" w14:textId="07D5EBB5" w:rsidR="00BD31BA" w:rsidRPr="00540B9F" w:rsidRDefault="00BD31BA" w:rsidP="00540B9F">
      <w:pPr>
        <w:spacing w:after="0" w:line="360" w:lineRule="auto"/>
        <w:jc w:val="both"/>
        <w:rPr>
          <w:rFonts w:ascii="Adobe Garamond Pro" w:eastAsia="Calibri" w:hAnsi="Adobe Garamond Pro" w:cs="Times New Roman"/>
          <w:b/>
          <w:bCs/>
          <w:kern w:val="2"/>
          <w14:ligatures w14:val="standardContextual"/>
        </w:rPr>
      </w:pPr>
      <w:r w:rsidRPr="00540B9F">
        <w:rPr>
          <w:rFonts w:ascii="Adobe Garamond Pro" w:eastAsia="Calibri" w:hAnsi="Adobe Garamond Pro" w:cs="Times New Roman"/>
          <w:b/>
          <w:bCs/>
          <w:kern w:val="2"/>
          <w14:ligatures w14:val="standardContextual"/>
        </w:rPr>
        <w:t>Internal Rate of Return (IRR)</w:t>
      </w:r>
    </w:p>
    <w:p w14:paraId="25CFAE3C" w14:textId="77777777" w:rsidR="00BD31BA" w:rsidRPr="00540B9F" w:rsidRDefault="00BD31BA" w:rsidP="00540B9F">
      <w:pPr>
        <w:spacing w:after="0" w:line="360" w:lineRule="auto"/>
        <w:jc w:val="both"/>
        <w:rPr>
          <w:rFonts w:ascii="Adobe Garamond Pro" w:eastAsia="Calibri" w:hAnsi="Adobe Garamond Pro" w:cs="Times New Roman"/>
          <w:kern w:val="2"/>
          <w14:ligatures w14:val="standardContextual"/>
        </w:rPr>
      </w:pPr>
      <w:r w:rsidRPr="00540B9F">
        <w:rPr>
          <w:rFonts w:ascii="Adobe Garamond Pro" w:eastAsia="Calibri" w:hAnsi="Adobe Garamond Pro" w:cs="Times New Roman"/>
          <w:kern w:val="2"/>
          <w14:ligatures w14:val="standardContextual"/>
        </w:rPr>
        <w:t>IRR is calculated as a discount rate that makes NPV = 0.</w:t>
      </w:r>
    </w:p>
    <w:p w14:paraId="2B5BF789" w14:textId="77777777" w:rsidR="00BD31BA" w:rsidRPr="00540B9F" w:rsidRDefault="00BD31BA" w:rsidP="00540B9F">
      <w:pPr>
        <w:spacing w:after="0" w:line="360" w:lineRule="auto"/>
        <w:jc w:val="both"/>
        <w:rPr>
          <w:rFonts w:ascii="Adobe Garamond Pro" w:eastAsia="Calibri" w:hAnsi="Adobe Garamond Pro" w:cs="Times New Roman"/>
          <w:b/>
          <w:bCs/>
          <w:kern w:val="2"/>
          <w14:ligatures w14:val="standardContextual"/>
        </w:rPr>
      </w:pPr>
      <w:r w:rsidRPr="00540B9F">
        <w:rPr>
          <w:rFonts w:ascii="Adobe Garamond Pro" w:eastAsia="Calibri" w:hAnsi="Adobe Garamond Pro" w:cs="Times New Roman"/>
          <w:b/>
          <w:bCs/>
          <w:kern w:val="2"/>
          <w14:ligatures w14:val="standardContextual"/>
        </w:rPr>
        <w:t>Known:</w:t>
      </w:r>
    </w:p>
    <w:p w14:paraId="0233FE0B" w14:textId="77777777" w:rsidR="00BD31BA" w:rsidRPr="00540B9F" w:rsidRDefault="00BD31BA" w:rsidP="00540B9F">
      <w:pPr>
        <w:tabs>
          <w:tab w:val="left" w:pos="426"/>
        </w:tabs>
        <w:spacing w:after="0" w:line="360" w:lineRule="auto"/>
        <w:jc w:val="both"/>
        <w:rPr>
          <w:rFonts w:ascii="Adobe Garamond Pro" w:eastAsia="Calibri" w:hAnsi="Adobe Garamond Pro" w:cs="Times New Roman"/>
          <w:kern w:val="2"/>
          <w14:ligatures w14:val="standardContextual"/>
        </w:rPr>
      </w:pPr>
      <w:r w:rsidRPr="00540B9F">
        <w:rPr>
          <w:rFonts w:ascii="Adobe Garamond Pro" w:eastAsia="Calibri" w:hAnsi="Adobe Garamond Pro" w:cs="Times New Roman"/>
          <w:kern w:val="2"/>
          <w14:ligatures w14:val="standardContextual"/>
        </w:rPr>
        <w:t>I</w:t>
      </w:r>
      <w:r w:rsidRPr="00540B9F">
        <w:rPr>
          <w:rFonts w:ascii="Adobe Garamond Pro" w:eastAsia="Calibri" w:hAnsi="Adobe Garamond Pro" w:cs="Times New Roman"/>
          <w:kern w:val="2"/>
          <w:vertAlign w:val="subscript"/>
          <w14:ligatures w14:val="standardContextual"/>
        </w:rPr>
        <w:t>0</w:t>
      </w:r>
      <w:r w:rsidRPr="00540B9F">
        <w:rPr>
          <w:rFonts w:ascii="Adobe Garamond Pro" w:eastAsia="Calibri" w:hAnsi="Adobe Garamond Pro" w:cs="Times New Roman"/>
          <w:kern w:val="2"/>
          <w14:ligatures w14:val="standardContextual"/>
        </w:rPr>
        <w:t xml:space="preserve"> </w:t>
      </w:r>
      <w:r w:rsidRPr="00540B9F">
        <w:rPr>
          <w:rFonts w:ascii="Adobe Garamond Pro" w:eastAsia="Calibri" w:hAnsi="Adobe Garamond Pro" w:cs="Times New Roman"/>
          <w:kern w:val="2"/>
          <w14:ligatures w14:val="standardContextual"/>
        </w:rPr>
        <w:tab/>
        <w:t>= IDR 5,000,000</w:t>
      </w:r>
    </w:p>
    <w:p w14:paraId="1FA5931C" w14:textId="77777777" w:rsidR="00BD31BA" w:rsidRPr="00540B9F" w:rsidRDefault="00BD31BA" w:rsidP="00540B9F">
      <w:pPr>
        <w:tabs>
          <w:tab w:val="left" w:pos="426"/>
        </w:tabs>
        <w:spacing w:after="0" w:line="360" w:lineRule="auto"/>
        <w:jc w:val="both"/>
        <w:rPr>
          <w:rFonts w:ascii="Adobe Garamond Pro" w:eastAsia="Calibri" w:hAnsi="Adobe Garamond Pro" w:cs="Times New Roman"/>
          <w:kern w:val="2"/>
          <w14:ligatures w14:val="standardContextual"/>
        </w:rPr>
      </w:pPr>
      <w:r w:rsidRPr="00540B9F">
        <w:rPr>
          <w:rFonts w:ascii="Adobe Garamond Pro" w:eastAsia="Calibri" w:hAnsi="Adobe Garamond Pro" w:cs="Times New Roman"/>
          <w:kern w:val="2"/>
          <w14:ligatures w14:val="standardContextual"/>
        </w:rPr>
        <w:t xml:space="preserve">CF </w:t>
      </w:r>
      <w:r w:rsidRPr="00540B9F">
        <w:rPr>
          <w:rFonts w:ascii="Adobe Garamond Pro" w:eastAsia="Calibri" w:hAnsi="Adobe Garamond Pro" w:cs="Times New Roman"/>
          <w:kern w:val="2"/>
          <w14:ligatures w14:val="standardContextual"/>
        </w:rPr>
        <w:tab/>
        <w:t>= IDR 24,000,000</w:t>
      </w:r>
    </w:p>
    <w:p w14:paraId="2E096BF9" w14:textId="77777777" w:rsidR="00BD31BA" w:rsidRPr="00540B9F" w:rsidRDefault="00BD31BA" w:rsidP="00540B9F">
      <w:pPr>
        <w:spacing w:after="0" w:line="360" w:lineRule="auto"/>
        <w:jc w:val="both"/>
        <w:rPr>
          <w:rFonts w:ascii="Adobe Garamond Pro" w:eastAsia="Calibri" w:hAnsi="Adobe Garamond Pro" w:cs="Times New Roman"/>
          <w:kern w:val="2"/>
          <w14:ligatures w14:val="standardContextual"/>
        </w:rPr>
      </w:pPr>
      <w:r w:rsidRPr="00540B9F">
        <w:rPr>
          <w:rFonts w:ascii="Adobe Garamond Pro" w:eastAsia="Calibri" w:hAnsi="Adobe Garamond Pro" w:cs="Times New Roman"/>
          <w:kern w:val="2"/>
          <w14:ligatures w14:val="standardContextual"/>
        </w:rPr>
        <w:t>Business age = 5 years</w:t>
      </w:r>
    </w:p>
    <w:p w14:paraId="3A7FEEEC" w14:textId="77777777" w:rsidR="00BD31BA" w:rsidRPr="00540B9F" w:rsidRDefault="00BD31BA" w:rsidP="00540B9F">
      <w:pPr>
        <w:spacing w:after="0" w:line="360" w:lineRule="auto"/>
        <w:jc w:val="both"/>
        <w:rPr>
          <w:rFonts w:ascii="Adobe Garamond Pro" w:eastAsia="Calibri" w:hAnsi="Adobe Garamond Pro" w:cs="Times New Roman"/>
          <w:kern w:val="2"/>
          <w14:ligatures w14:val="standardContextual"/>
        </w:rPr>
      </w:pPr>
      <w:r w:rsidRPr="00540B9F">
        <w:rPr>
          <w:rFonts w:ascii="Adobe Garamond Pro" w:eastAsia="Calibri" w:hAnsi="Adobe Garamond Pro" w:cs="Times New Roman"/>
          <w:kern w:val="2"/>
          <w14:ligatures w14:val="standardContextual"/>
        </w:rPr>
        <w:t>r</w:t>
      </w:r>
      <w:r w:rsidRPr="00540B9F">
        <w:rPr>
          <w:rFonts w:ascii="Adobe Garamond Pro" w:eastAsia="Calibri" w:hAnsi="Adobe Garamond Pro" w:cs="Times New Roman"/>
          <w:kern w:val="2"/>
          <w:vertAlign w:val="subscript"/>
          <w14:ligatures w14:val="standardContextual"/>
        </w:rPr>
        <w:t>1</w:t>
      </w:r>
      <w:r w:rsidRPr="00540B9F">
        <w:rPr>
          <w:rFonts w:ascii="Adobe Garamond Pro" w:eastAsia="Calibri" w:hAnsi="Adobe Garamond Pro" w:cs="Times New Roman"/>
          <w:kern w:val="2"/>
          <w14:ligatures w14:val="standardContextual"/>
        </w:rPr>
        <w:t xml:space="preserve"> = 400%, NPV1 = 998.080</w:t>
      </w:r>
    </w:p>
    <w:p w14:paraId="58FDA7CD" w14:textId="77777777" w:rsidR="00BD31BA" w:rsidRPr="00540B9F" w:rsidRDefault="00BD31BA" w:rsidP="00540B9F">
      <w:pPr>
        <w:spacing w:after="0" w:line="360" w:lineRule="auto"/>
        <w:jc w:val="both"/>
        <w:rPr>
          <w:rFonts w:ascii="Adobe Garamond Pro" w:eastAsia="Calibri" w:hAnsi="Adobe Garamond Pro" w:cs="Times New Roman"/>
          <w:kern w:val="2"/>
          <w14:ligatures w14:val="standardContextual"/>
        </w:rPr>
      </w:pPr>
      <w:r w:rsidRPr="00540B9F">
        <w:rPr>
          <w:rFonts w:ascii="Adobe Garamond Pro" w:eastAsia="Calibri" w:hAnsi="Adobe Garamond Pro" w:cs="Times New Roman"/>
          <w:kern w:val="2"/>
          <w14:ligatures w14:val="standardContextual"/>
        </w:rPr>
        <w:t>r</w:t>
      </w:r>
      <w:r w:rsidRPr="00540B9F">
        <w:rPr>
          <w:rFonts w:ascii="Adobe Garamond Pro" w:eastAsia="Calibri" w:hAnsi="Adobe Garamond Pro" w:cs="Times New Roman"/>
          <w:kern w:val="2"/>
          <w:vertAlign w:val="subscript"/>
          <w14:ligatures w14:val="standardContextual"/>
        </w:rPr>
        <w:t>2</w:t>
      </w:r>
      <w:r w:rsidRPr="00540B9F">
        <w:rPr>
          <w:rFonts w:ascii="Adobe Garamond Pro" w:eastAsia="Calibri" w:hAnsi="Adobe Garamond Pro" w:cs="Times New Roman"/>
          <w:kern w:val="2"/>
          <w14:ligatures w14:val="standardContextual"/>
        </w:rPr>
        <w:t xml:space="preserve"> = 500%, NPV2 = -200.617</w:t>
      </w:r>
    </w:p>
    <w:p w14:paraId="161B5C09" w14:textId="77777777" w:rsidR="00BD31BA" w:rsidRPr="00540B9F" w:rsidRDefault="00BD31BA" w:rsidP="00540B9F">
      <w:pPr>
        <w:spacing w:after="0" w:line="360" w:lineRule="auto"/>
        <w:jc w:val="both"/>
        <w:rPr>
          <w:rFonts w:ascii="Adobe Garamond Pro" w:eastAsia="Calibri" w:hAnsi="Adobe Garamond Pro" w:cs="Times New Roman"/>
          <w:kern w:val="2"/>
          <w14:ligatures w14:val="standardContextual"/>
        </w:rPr>
      </w:pPr>
      <m:oMathPara>
        <m:oMath>
          <m:r>
            <m:rPr>
              <m:sty m:val="p"/>
            </m:rPr>
            <w:rPr>
              <w:rFonts w:ascii="Cambria Math" w:eastAsia="Calibri" w:hAnsi="Cambria Math" w:cs="Times New Roman"/>
              <w:kern w:val="2"/>
              <w14:ligatures w14:val="standardContextual"/>
            </w:rPr>
            <w:lastRenderedPageBreak/>
            <m:t xml:space="preserve">IRR=400%+ </m:t>
          </m:r>
          <m:f>
            <m:fPr>
              <m:ctrlPr>
                <w:rPr>
                  <w:rFonts w:ascii="Cambria Math" w:eastAsia="Calibri" w:hAnsi="Cambria Math" w:cs="Times New Roman"/>
                  <w:kern w:val="2"/>
                  <w14:ligatures w14:val="standardContextual"/>
                </w:rPr>
              </m:ctrlPr>
            </m:fPr>
            <m:num>
              <m:r>
                <m:rPr>
                  <m:sty m:val="p"/>
                </m:rPr>
                <w:rPr>
                  <w:rFonts w:ascii="Cambria Math" w:eastAsia="Calibri" w:hAnsi="Cambria Math" w:cs="Times New Roman"/>
                  <w:kern w:val="2"/>
                  <w14:ligatures w14:val="standardContextual"/>
                </w:rPr>
                <m:t>998.080</m:t>
              </m:r>
            </m:num>
            <m:den>
              <m:r>
                <m:rPr>
                  <m:sty m:val="p"/>
                </m:rPr>
                <w:rPr>
                  <w:rFonts w:ascii="Cambria Math" w:eastAsia="Calibri" w:hAnsi="Cambria Math" w:cs="Times New Roman"/>
                  <w:kern w:val="2"/>
                  <w14:ligatures w14:val="standardContextual"/>
                </w:rPr>
                <m:t>998.080-</m:t>
              </m:r>
              <m:d>
                <m:dPr>
                  <m:ctrlPr>
                    <w:rPr>
                      <w:rFonts w:ascii="Cambria Math" w:eastAsia="Calibri" w:hAnsi="Cambria Math" w:cs="Times New Roman"/>
                      <w:kern w:val="2"/>
                      <w14:ligatures w14:val="standardContextual"/>
                    </w:rPr>
                  </m:ctrlPr>
                </m:dPr>
                <m:e>
                  <m:r>
                    <m:rPr>
                      <m:sty m:val="p"/>
                    </m:rPr>
                    <w:rPr>
                      <w:rFonts w:ascii="Cambria Math" w:eastAsia="Calibri" w:hAnsi="Cambria Math" w:cs="Times New Roman"/>
                      <w:kern w:val="2"/>
                      <w14:ligatures w14:val="standardContextual"/>
                    </w:rPr>
                    <m:t>-200.617</m:t>
                  </m:r>
                </m:e>
              </m:d>
            </m:den>
          </m:f>
          <m:r>
            <m:rPr>
              <m:sty m:val="p"/>
            </m:rPr>
            <w:rPr>
              <w:rFonts w:ascii="Cambria Math" w:eastAsia="Calibri" w:hAnsi="Cambria Math" w:cs="Times New Roman"/>
              <w:kern w:val="2"/>
              <w14:ligatures w14:val="standardContextual"/>
            </w:rPr>
            <m:t xml:space="preserve"> x </m:t>
          </m:r>
          <m:d>
            <m:dPr>
              <m:ctrlPr>
                <w:rPr>
                  <w:rFonts w:ascii="Cambria Math" w:eastAsia="Calibri" w:hAnsi="Cambria Math" w:cs="Times New Roman"/>
                  <w:kern w:val="2"/>
                  <w14:ligatures w14:val="standardContextual"/>
                </w:rPr>
              </m:ctrlPr>
            </m:dPr>
            <m:e>
              <m:r>
                <m:rPr>
                  <m:sty m:val="p"/>
                </m:rPr>
                <w:rPr>
                  <w:rFonts w:ascii="Cambria Math" w:eastAsia="Calibri" w:hAnsi="Cambria Math" w:cs="Times New Roman"/>
                  <w:kern w:val="2"/>
                  <w14:ligatures w14:val="standardContextual"/>
                </w:rPr>
                <m:t>100%</m:t>
              </m:r>
            </m:e>
          </m:d>
        </m:oMath>
      </m:oMathPara>
    </w:p>
    <w:p w14:paraId="32A682B6" w14:textId="77777777" w:rsidR="00BD31BA" w:rsidRPr="00540B9F" w:rsidRDefault="00BD31BA" w:rsidP="00540B9F">
      <w:pPr>
        <w:spacing w:after="0" w:line="360" w:lineRule="auto"/>
        <w:jc w:val="both"/>
        <w:rPr>
          <w:rFonts w:ascii="Adobe Garamond Pro" w:eastAsia="Calibri" w:hAnsi="Adobe Garamond Pro" w:cs="Times New Roman"/>
          <w:kern w:val="2"/>
          <w14:ligatures w14:val="standardContextual"/>
        </w:rPr>
      </w:pPr>
      <m:oMathPara>
        <m:oMath>
          <m:r>
            <m:rPr>
              <m:sty m:val="p"/>
            </m:rPr>
            <w:rPr>
              <w:rFonts w:ascii="Cambria Math" w:eastAsia="Calibri" w:hAnsi="Cambria Math" w:cs="Times New Roman"/>
              <w:kern w:val="2"/>
              <w14:ligatures w14:val="standardContextual"/>
            </w:rPr>
            <m:t xml:space="preserve">IRR=400%+ </m:t>
          </m:r>
          <m:f>
            <m:fPr>
              <m:ctrlPr>
                <w:rPr>
                  <w:rFonts w:ascii="Cambria Math" w:eastAsia="Calibri" w:hAnsi="Cambria Math" w:cs="Times New Roman"/>
                  <w:kern w:val="2"/>
                  <w14:ligatures w14:val="standardContextual"/>
                </w:rPr>
              </m:ctrlPr>
            </m:fPr>
            <m:num>
              <m:r>
                <m:rPr>
                  <m:sty m:val="p"/>
                </m:rPr>
                <w:rPr>
                  <w:rFonts w:ascii="Cambria Math" w:eastAsia="Calibri" w:hAnsi="Cambria Math" w:cs="Times New Roman"/>
                  <w:kern w:val="2"/>
                  <w14:ligatures w14:val="standardContextual"/>
                </w:rPr>
                <m:t>998.080</m:t>
              </m:r>
            </m:num>
            <m:den>
              <m:r>
                <m:rPr>
                  <m:sty m:val="p"/>
                </m:rPr>
                <w:rPr>
                  <w:rFonts w:ascii="Cambria Math" w:eastAsia="Calibri" w:hAnsi="Cambria Math" w:cs="Times New Roman"/>
                  <w:kern w:val="2"/>
                  <w14:ligatures w14:val="standardContextual"/>
                </w:rPr>
                <m:t>1.198.697</m:t>
              </m:r>
            </m:den>
          </m:f>
          <m:r>
            <m:rPr>
              <m:sty m:val="p"/>
            </m:rPr>
            <w:rPr>
              <w:rFonts w:ascii="Cambria Math" w:eastAsia="Calibri" w:hAnsi="Cambria Math" w:cs="Times New Roman"/>
              <w:kern w:val="2"/>
              <w14:ligatures w14:val="standardContextual"/>
            </w:rPr>
            <m:t xml:space="preserve"> x 100%</m:t>
          </m:r>
        </m:oMath>
      </m:oMathPara>
    </w:p>
    <w:p w14:paraId="38F157DC" w14:textId="77777777" w:rsidR="00BD31BA" w:rsidRPr="00540B9F" w:rsidRDefault="00BD31BA" w:rsidP="00540B9F">
      <w:pPr>
        <w:spacing w:after="0" w:line="360" w:lineRule="auto"/>
        <w:jc w:val="both"/>
        <w:rPr>
          <w:rFonts w:ascii="Adobe Garamond Pro" w:eastAsia="Calibri" w:hAnsi="Adobe Garamond Pro" w:cs="Times New Roman"/>
          <w:kern w:val="2"/>
          <w14:ligatures w14:val="standardContextual"/>
        </w:rPr>
      </w:pPr>
      <m:oMathPara>
        <m:oMath>
          <m:r>
            <m:rPr>
              <m:sty m:val="p"/>
            </m:rPr>
            <w:rPr>
              <w:rFonts w:ascii="Cambria Math" w:eastAsia="Calibri" w:hAnsi="Cambria Math" w:cs="Times New Roman"/>
              <w:kern w:val="2"/>
              <w14:ligatures w14:val="standardContextual"/>
            </w:rPr>
            <m:t>IRR=400%+83,25%</m:t>
          </m:r>
        </m:oMath>
      </m:oMathPara>
    </w:p>
    <w:p w14:paraId="1DC4614D" w14:textId="77777777" w:rsidR="00BD31BA" w:rsidRPr="00540B9F" w:rsidRDefault="00BD31BA" w:rsidP="00540B9F">
      <w:pPr>
        <w:spacing w:after="0" w:line="360" w:lineRule="auto"/>
        <w:jc w:val="both"/>
        <w:rPr>
          <w:rFonts w:ascii="Adobe Garamond Pro" w:eastAsia="Calibri" w:hAnsi="Adobe Garamond Pro" w:cs="Times New Roman"/>
          <w:kern w:val="2"/>
          <w14:ligatures w14:val="standardContextual"/>
        </w:rPr>
      </w:pPr>
      <m:oMathPara>
        <m:oMath>
          <m:r>
            <m:rPr>
              <m:sty m:val="p"/>
            </m:rPr>
            <w:rPr>
              <w:rFonts w:ascii="Cambria Math" w:eastAsia="Calibri" w:hAnsi="Cambria Math" w:cs="Times New Roman"/>
              <w:kern w:val="2"/>
              <w14:ligatures w14:val="standardContextual"/>
            </w:rPr>
            <m:t>IRR=483,25%</m:t>
          </m:r>
        </m:oMath>
      </m:oMathPara>
    </w:p>
    <w:p w14:paraId="11D57A4D" w14:textId="77777777" w:rsidR="00BD31BA" w:rsidRPr="00540B9F"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540B9F">
        <w:rPr>
          <w:rFonts w:ascii="Adobe Garamond Pro" w:eastAsia="Calibri" w:hAnsi="Adobe Garamond Pro" w:cs="Times New Roman"/>
          <w:kern w:val="2"/>
          <w14:ligatures w14:val="standardContextual"/>
        </w:rPr>
        <w:t>The calculation results show that IRR = 483.25%, well above the 10% discount rate. This business has a very high rate of return on investment and is very feasible to run.</w:t>
      </w:r>
    </w:p>
    <w:p w14:paraId="45C19FB5" w14:textId="77777777" w:rsidR="00BD31BA" w:rsidRPr="00540B9F" w:rsidRDefault="00BD31BA" w:rsidP="00540B9F">
      <w:pPr>
        <w:spacing w:after="0" w:line="360" w:lineRule="auto"/>
        <w:jc w:val="both"/>
        <w:rPr>
          <w:rFonts w:ascii="Adobe Garamond Pro" w:eastAsia="Calibri" w:hAnsi="Adobe Garamond Pro" w:cs="Times New Roman"/>
          <w:b/>
          <w:bCs/>
          <w:kern w:val="2"/>
          <w14:ligatures w14:val="standardContextual"/>
        </w:rPr>
      </w:pPr>
      <w:r w:rsidRPr="00540B9F">
        <w:rPr>
          <w:rFonts w:ascii="Adobe Garamond Pro" w:eastAsia="Calibri" w:hAnsi="Adobe Garamond Pro" w:cs="Times New Roman"/>
          <w:b/>
          <w:bCs/>
          <w:kern w:val="2"/>
          <w14:ligatures w14:val="standardContextual"/>
        </w:rPr>
        <w:t>Internal Rate of Return (IRR) calculation table with an interest rate of 400%</w:t>
      </w:r>
    </w:p>
    <w:p w14:paraId="7BD3BC13" w14:textId="58715706" w:rsidR="006B65D5" w:rsidRPr="00540B9F" w:rsidRDefault="006B65D5" w:rsidP="00540B9F">
      <w:pPr>
        <w:pStyle w:val="Caption"/>
        <w:spacing w:after="0" w:line="360" w:lineRule="auto"/>
        <w:rPr>
          <w:rFonts w:ascii="Adobe Garamond Pro" w:hAnsi="Adobe Garamond Pro" w:cs="Times New Roman"/>
          <w:b/>
          <w:bCs/>
          <w:i w:val="0"/>
          <w:iCs w:val="0"/>
          <w:color w:val="auto"/>
          <w:kern w:val="2"/>
          <w:sz w:val="22"/>
          <w:szCs w:val="22"/>
          <w:lang w:val="en-US"/>
          <w14:ligatures w14:val="standardContextual"/>
        </w:rPr>
      </w:pPr>
      <w:r w:rsidRPr="00540B9F">
        <w:rPr>
          <w:rFonts w:ascii="Adobe Garamond Pro" w:hAnsi="Adobe Garamond Pro" w:cs="Times New Roman"/>
          <w:b/>
          <w:bCs/>
          <w:i w:val="0"/>
          <w:iCs w:val="0"/>
          <w:color w:val="auto"/>
          <w:sz w:val="22"/>
          <w:szCs w:val="22"/>
        </w:rPr>
        <w:t xml:space="preserve">Tabel </w:t>
      </w:r>
      <w:r w:rsidRPr="00540B9F">
        <w:rPr>
          <w:rFonts w:ascii="Adobe Garamond Pro" w:hAnsi="Adobe Garamond Pro" w:cs="Times New Roman"/>
          <w:b/>
          <w:bCs/>
          <w:i w:val="0"/>
          <w:iCs w:val="0"/>
          <w:color w:val="auto"/>
          <w:sz w:val="22"/>
          <w:szCs w:val="22"/>
        </w:rPr>
        <w:fldChar w:fldCharType="begin"/>
      </w:r>
      <w:r w:rsidRPr="00540B9F">
        <w:rPr>
          <w:rFonts w:ascii="Adobe Garamond Pro" w:hAnsi="Adobe Garamond Pro" w:cs="Times New Roman"/>
          <w:b/>
          <w:bCs/>
          <w:i w:val="0"/>
          <w:iCs w:val="0"/>
          <w:color w:val="auto"/>
          <w:sz w:val="22"/>
          <w:szCs w:val="22"/>
        </w:rPr>
        <w:instrText xml:space="preserve"> SEQ Tabel_1. \* ARABIC </w:instrText>
      </w:r>
      <w:r w:rsidRPr="00540B9F">
        <w:rPr>
          <w:rFonts w:ascii="Adobe Garamond Pro" w:hAnsi="Adobe Garamond Pro" w:cs="Times New Roman"/>
          <w:b/>
          <w:bCs/>
          <w:i w:val="0"/>
          <w:iCs w:val="0"/>
          <w:color w:val="auto"/>
          <w:sz w:val="22"/>
          <w:szCs w:val="22"/>
        </w:rPr>
        <w:fldChar w:fldCharType="separate"/>
      </w:r>
      <w:r w:rsidRPr="00540B9F">
        <w:rPr>
          <w:rFonts w:ascii="Adobe Garamond Pro" w:hAnsi="Adobe Garamond Pro" w:cs="Times New Roman"/>
          <w:b/>
          <w:bCs/>
          <w:i w:val="0"/>
          <w:iCs w:val="0"/>
          <w:noProof/>
          <w:color w:val="auto"/>
          <w:sz w:val="22"/>
          <w:szCs w:val="22"/>
        </w:rPr>
        <w:t>4</w:t>
      </w:r>
      <w:r w:rsidRPr="00540B9F">
        <w:rPr>
          <w:rFonts w:ascii="Adobe Garamond Pro" w:hAnsi="Adobe Garamond Pro" w:cs="Times New Roman"/>
          <w:b/>
          <w:bCs/>
          <w:i w:val="0"/>
          <w:iCs w:val="0"/>
          <w:color w:val="auto"/>
          <w:sz w:val="22"/>
          <w:szCs w:val="22"/>
        </w:rPr>
        <w:fldChar w:fldCharType="end"/>
      </w:r>
      <w:r w:rsidRPr="00540B9F">
        <w:rPr>
          <w:rFonts w:ascii="Adobe Garamond Pro" w:hAnsi="Adobe Garamond Pro" w:cs="Times New Roman"/>
          <w:b/>
          <w:bCs/>
          <w:i w:val="0"/>
          <w:iCs w:val="0"/>
          <w:color w:val="auto"/>
          <w:sz w:val="22"/>
          <w:szCs w:val="22"/>
          <w:lang w:val="en-US"/>
        </w:rPr>
        <w:t>.</w:t>
      </w:r>
      <w:r w:rsidRPr="00540B9F">
        <w:rPr>
          <w:rFonts w:ascii="Adobe Garamond Pro" w:hAnsi="Adobe Garamond Pro" w:cs="Times New Roman"/>
          <w:i w:val="0"/>
          <w:iCs w:val="0"/>
          <w:color w:val="auto"/>
          <w:sz w:val="22"/>
          <w:szCs w:val="22"/>
          <w:lang w:val="en-US"/>
        </w:rPr>
        <w:t xml:space="preserve"> Calculation Internal Rate of Return (IRR) 400%</w:t>
      </w:r>
    </w:p>
    <w:tbl>
      <w:tblPr>
        <w:tblStyle w:val="TableGrid1"/>
        <w:tblW w:w="0" w:type="auto"/>
        <w:tblLook w:val="04A0" w:firstRow="1" w:lastRow="0" w:firstColumn="1" w:lastColumn="0" w:noHBand="0" w:noVBand="1"/>
      </w:tblPr>
      <w:tblGrid>
        <w:gridCol w:w="1089"/>
        <w:gridCol w:w="3447"/>
        <w:gridCol w:w="2195"/>
        <w:gridCol w:w="2295"/>
      </w:tblGrid>
      <w:tr w:rsidR="00BD31BA" w:rsidRPr="00BD31BA" w14:paraId="28BEED2B" w14:textId="77777777" w:rsidTr="00C00FBC">
        <w:trPr>
          <w:trHeight w:val="443"/>
        </w:trPr>
        <w:tc>
          <w:tcPr>
            <w:tcW w:w="1089" w:type="dxa"/>
            <w:tcBorders>
              <w:left w:val="nil"/>
              <w:right w:val="nil"/>
            </w:tcBorders>
            <w:shd w:val="clear" w:color="auto" w:fill="C5E0B3"/>
            <w:vAlign w:val="center"/>
          </w:tcPr>
          <w:p w14:paraId="3018C463"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Year</w:t>
            </w:r>
          </w:p>
        </w:tc>
        <w:tc>
          <w:tcPr>
            <w:tcW w:w="3447" w:type="dxa"/>
            <w:tcBorders>
              <w:left w:val="nil"/>
              <w:right w:val="nil"/>
            </w:tcBorders>
            <w:shd w:val="clear" w:color="auto" w:fill="C5E0B3"/>
            <w:vAlign w:val="center"/>
          </w:tcPr>
          <w:p w14:paraId="4132D771"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Cash Flow (CFt)</w:t>
            </w:r>
          </w:p>
        </w:tc>
        <w:tc>
          <w:tcPr>
            <w:tcW w:w="2195" w:type="dxa"/>
            <w:tcBorders>
              <w:left w:val="nil"/>
              <w:right w:val="nil"/>
            </w:tcBorders>
            <w:shd w:val="clear" w:color="auto" w:fill="C5E0B3"/>
            <w:vAlign w:val="center"/>
          </w:tcPr>
          <w:p w14:paraId="567FDCD8"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Discount (400%)</w:t>
            </w:r>
          </w:p>
        </w:tc>
        <w:tc>
          <w:tcPr>
            <w:tcW w:w="2295" w:type="dxa"/>
            <w:tcBorders>
              <w:left w:val="nil"/>
              <w:right w:val="nil"/>
            </w:tcBorders>
            <w:shd w:val="clear" w:color="auto" w:fill="C5E0B3"/>
          </w:tcPr>
          <w:p w14:paraId="02483FA9"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Current Value (Rp)</w:t>
            </w:r>
          </w:p>
        </w:tc>
      </w:tr>
      <w:tr w:rsidR="00BD31BA" w:rsidRPr="00BD31BA" w14:paraId="4483EA96" w14:textId="77777777" w:rsidTr="00C00FBC">
        <w:tc>
          <w:tcPr>
            <w:tcW w:w="1089" w:type="dxa"/>
            <w:tcBorders>
              <w:left w:val="nil"/>
              <w:right w:val="nil"/>
            </w:tcBorders>
            <w:vAlign w:val="center"/>
          </w:tcPr>
          <w:p w14:paraId="3F9D5BFF"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1</w:t>
            </w:r>
          </w:p>
        </w:tc>
        <w:tc>
          <w:tcPr>
            <w:tcW w:w="3447" w:type="dxa"/>
            <w:tcBorders>
              <w:left w:val="nil"/>
              <w:right w:val="nil"/>
            </w:tcBorders>
            <w:vAlign w:val="center"/>
          </w:tcPr>
          <w:p w14:paraId="12DF1A29"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195" w:type="dxa"/>
            <w:tcBorders>
              <w:left w:val="nil"/>
              <w:right w:val="nil"/>
            </w:tcBorders>
            <w:vAlign w:val="center"/>
          </w:tcPr>
          <w:p w14:paraId="13FB462D"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0,20000</w:t>
            </w:r>
          </w:p>
        </w:tc>
        <w:tc>
          <w:tcPr>
            <w:tcW w:w="2295" w:type="dxa"/>
            <w:tcBorders>
              <w:left w:val="nil"/>
              <w:right w:val="nil"/>
            </w:tcBorders>
            <w:vAlign w:val="center"/>
          </w:tcPr>
          <w:p w14:paraId="29BFF76D"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4.800.000</w:t>
            </w:r>
          </w:p>
        </w:tc>
      </w:tr>
      <w:tr w:rsidR="00BD31BA" w:rsidRPr="00BD31BA" w14:paraId="04988440" w14:textId="77777777" w:rsidTr="00C00FBC">
        <w:tc>
          <w:tcPr>
            <w:tcW w:w="1089" w:type="dxa"/>
            <w:tcBorders>
              <w:left w:val="nil"/>
              <w:right w:val="nil"/>
            </w:tcBorders>
            <w:vAlign w:val="center"/>
          </w:tcPr>
          <w:p w14:paraId="13CB5C1B"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2</w:t>
            </w:r>
          </w:p>
        </w:tc>
        <w:tc>
          <w:tcPr>
            <w:tcW w:w="3447" w:type="dxa"/>
            <w:tcBorders>
              <w:left w:val="nil"/>
              <w:right w:val="nil"/>
            </w:tcBorders>
            <w:vAlign w:val="center"/>
          </w:tcPr>
          <w:p w14:paraId="7B992297"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195" w:type="dxa"/>
            <w:tcBorders>
              <w:left w:val="nil"/>
              <w:right w:val="nil"/>
            </w:tcBorders>
            <w:vAlign w:val="center"/>
          </w:tcPr>
          <w:p w14:paraId="3CD0F032"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0,04000</w:t>
            </w:r>
          </w:p>
        </w:tc>
        <w:tc>
          <w:tcPr>
            <w:tcW w:w="2295" w:type="dxa"/>
            <w:tcBorders>
              <w:left w:val="nil"/>
              <w:right w:val="nil"/>
            </w:tcBorders>
            <w:vAlign w:val="center"/>
          </w:tcPr>
          <w:p w14:paraId="369B7306"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960.000</w:t>
            </w:r>
          </w:p>
        </w:tc>
      </w:tr>
      <w:tr w:rsidR="00BD31BA" w:rsidRPr="00BD31BA" w14:paraId="3559D4F8" w14:textId="77777777" w:rsidTr="00C00FBC">
        <w:tc>
          <w:tcPr>
            <w:tcW w:w="1089" w:type="dxa"/>
            <w:tcBorders>
              <w:left w:val="nil"/>
              <w:right w:val="nil"/>
            </w:tcBorders>
            <w:vAlign w:val="center"/>
          </w:tcPr>
          <w:p w14:paraId="6A164145"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3</w:t>
            </w:r>
          </w:p>
        </w:tc>
        <w:tc>
          <w:tcPr>
            <w:tcW w:w="3447" w:type="dxa"/>
            <w:tcBorders>
              <w:left w:val="nil"/>
              <w:right w:val="nil"/>
            </w:tcBorders>
            <w:vAlign w:val="center"/>
          </w:tcPr>
          <w:p w14:paraId="72D2F2D8"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195" w:type="dxa"/>
            <w:tcBorders>
              <w:left w:val="nil"/>
              <w:right w:val="nil"/>
            </w:tcBorders>
            <w:vAlign w:val="center"/>
          </w:tcPr>
          <w:p w14:paraId="21BB2F33"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0.00800</w:t>
            </w:r>
          </w:p>
        </w:tc>
        <w:tc>
          <w:tcPr>
            <w:tcW w:w="2295" w:type="dxa"/>
            <w:tcBorders>
              <w:left w:val="nil"/>
              <w:right w:val="nil"/>
            </w:tcBorders>
            <w:vAlign w:val="center"/>
          </w:tcPr>
          <w:p w14:paraId="250E6C34"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192.000</w:t>
            </w:r>
          </w:p>
        </w:tc>
      </w:tr>
      <w:tr w:rsidR="00BD31BA" w:rsidRPr="00BD31BA" w14:paraId="15FD4DD1" w14:textId="77777777" w:rsidTr="00C00FBC">
        <w:tc>
          <w:tcPr>
            <w:tcW w:w="1089" w:type="dxa"/>
            <w:tcBorders>
              <w:left w:val="nil"/>
              <w:right w:val="nil"/>
            </w:tcBorders>
            <w:vAlign w:val="center"/>
          </w:tcPr>
          <w:p w14:paraId="524BEBE9"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4</w:t>
            </w:r>
          </w:p>
        </w:tc>
        <w:tc>
          <w:tcPr>
            <w:tcW w:w="3447" w:type="dxa"/>
            <w:tcBorders>
              <w:left w:val="nil"/>
              <w:right w:val="nil"/>
            </w:tcBorders>
            <w:vAlign w:val="center"/>
          </w:tcPr>
          <w:p w14:paraId="45A61DDD"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195" w:type="dxa"/>
            <w:tcBorders>
              <w:left w:val="nil"/>
              <w:right w:val="nil"/>
            </w:tcBorders>
            <w:vAlign w:val="center"/>
          </w:tcPr>
          <w:p w14:paraId="10D4876C"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0,00160</w:t>
            </w:r>
          </w:p>
        </w:tc>
        <w:tc>
          <w:tcPr>
            <w:tcW w:w="2295" w:type="dxa"/>
            <w:tcBorders>
              <w:left w:val="nil"/>
              <w:right w:val="nil"/>
            </w:tcBorders>
            <w:vAlign w:val="center"/>
          </w:tcPr>
          <w:p w14:paraId="445BEF6F"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38.400</w:t>
            </w:r>
          </w:p>
        </w:tc>
      </w:tr>
      <w:tr w:rsidR="00BD31BA" w:rsidRPr="00BD31BA" w14:paraId="205C6293" w14:textId="77777777" w:rsidTr="00C00FBC">
        <w:tc>
          <w:tcPr>
            <w:tcW w:w="1089" w:type="dxa"/>
            <w:tcBorders>
              <w:left w:val="nil"/>
              <w:bottom w:val="single" w:sz="4" w:space="0" w:color="auto"/>
              <w:right w:val="nil"/>
            </w:tcBorders>
            <w:vAlign w:val="center"/>
          </w:tcPr>
          <w:p w14:paraId="319F1242"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5</w:t>
            </w:r>
          </w:p>
        </w:tc>
        <w:tc>
          <w:tcPr>
            <w:tcW w:w="3447" w:type="dxa"/>
            <w:tcBorders>
              <w:left w:val="nil"/>
              <w:bottom w:val="single" w:sz="4" w:space="0" w:color="auto"/>
              <w:right w:val="nil"/>
            </w:tcBorders>
            <w:vAlign w:val="center"/>
          </w:tcPr>
          <w:p w14:paraId="3E8C44D2"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195" w:type="dxa"/>
            <w:tcBorders>
              <w:left w:val="nil"/>
              <w:bottom w:val="single" w:sz="4" w:space="0" w:color="auto"/>
              <w:right w:val="nil"/>
            </w:tcBorders>
            <w:vAlign w:val="center"/>
          </w:tcPr>
          <w:p w14:paraId="2638F3C6"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0,00032</w:t>
            </w:r>
          </w:p>
        </w:tc>
        <w:tc>
          <w:tcPr>
            <w:tcW w:w="2295" w:type="dxa"/>
            <w:tcBorders>
              <w:left w:val="nil"/>
              <w:bottom w:val="single" w:sz="4" w:space="0" w:color="auto"/>
              <w:right w:val="nil"/>
            </w:tcBorders>
            <w:vAlign w:val="center"/>
          </w:tcPr>
          <w:p w14:paraId="71ECB158"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7.680</w:t>
            </w:r>
          </w:p>
        </w:tc>
      </w:tr>
      <w:tr w:rsidR="00BD31BA" w:rsidRPr="00BD31BA" w14:paraId="6236D57A" w14:textId="77777777" w:rsidTr="00C00FBC">
        <w:trPr>
          <w:trHeight w:val="370"/>
        </w:trPr>
        <w:tc>
          <w:tcPr>
            <w:tcW w:w="6731" w:type="dxa"/>
            <w:gridSpan w:val="3"/>
            <w:tcBorders>
              <w:left w:val="nil"/>
              <w:right w:val="nil"/>
            </w:tcBorders>
            <w:shd w:val="clear" w:color="auto" w:fill="C5E0B3"/>
            <w:vAlign w:val="center"/>
          </w:tcPr>
          <w:p w14:paraId="133E6092"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Total PV</w:t>
            </w:r>
          </w:p>
        </w:tc>
        <w:tc>
          <w:tcPr>
            <w:tcW w:w="2295" w:type="dxa"/>
            <w:tcBorders>
              <w:left w:val="nil"/>
              <w:right w:val="nil"/>
            </w:tcBorders>
            <w:shd w:val="clear" w:color="auto" w:fill="C5E0B3"/>
            <w:vAlign w:val="center"/>
          </w:tcPr>
          <w:p w14:paraId="5B0B793C"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5.998.080</w:t>
            </w:r>
          </w:p>
        </w:tc>
      </w:tr>
    </w:tbl>
    <w:p w14:paraId="73F0F028" w14:textId="77777777" w:rsidR="006B65D5" w:rsidRPr="009762AE" w:rsidRDefault="006B65D5" w:rsidP="00BD31BA">
      <w:pPr>
        <w:spacing w:line="360" w:lineRule="auto"/>
        <w:jc w:val="both"/>
        <w:rPr>
          <w:rFonts w:ascii="Adobe Garamond Pro" w:eastAsia="Calibri" w:hAnsi="Adobe Garamond Pro" w:cs="Times New Roman"/>
          <w:b/>
          <w:bCs/>
          <w:kern w:val="2"/>
          <w14:ligatures w14:val="standardContextual"/>
        </w:rPr>
      </w:pPr>
    </w:p>
    <w:p w14:paraId="19015EF5" w14:textId="1FB4BE30" w:rsidR="00BD31BA" w:rsidRPr="009762AE" w:rsidRDefault="00BD31BA" w:rsidP="00BD31BA">
      <w:pPr>
        <w:spacing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b/>
          <w:bCs/>
          <w:kern w:val="2"/>
          <w14:ligatures w14:val="standardContextual"/>
        </w:rPr>
        <w:t>NPV (400%)</w:t>
      </w:r>
      <w:r w:rsidRPr="009762AE">
        <w:rPr>
          <w:rFonts w:ascii="Adobe Garamond Pro" w:eastAsia="Calibri" w:hAnsi="Adobe Garamond Pro" w:cs="Times New Roman"/>
          <w:kern w:val="2"/>
          <w14:ligatures w14:val="standardContextual"/>
        </w:rPr>
        <w:t xml:space="preserve"> = Total Present Value – Total Investment</w:t>
      </w:r>
    </w:p>
    <w:p w14:paraId="64A48AC8" w14:textId="77777777" w:rsidR="00BD31BA" w:rsidRPr="009762AE" w:rsidRDefault="00BD31BA" w:rsidP="00BD31BA">
      <w:pPr>
        <w:spacing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IDR 5,998,080 – IDR 5,000,000</w:t>
      </w:r>
    </w:p>
    <w:p w14:paraId="176D1A30" w14:textId="53820D76" w:rsidR="00BD31BA" w:rsidRDefault="00BD31BA" w:rsidP="00BD31BA">
      <w:pPr>
        <w:spacing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IDR 998.080</w:t>
      </w:r>
    </w:p>
    <w:p w14:paraId="3F4B4681" w14:textId="77777777" w:rsidR="00C40B61" w:rsidRPr="009762AE" w:rsidRDefault="00C40B61" w:rsidP="00BD31BA">
      <w:pPr>
        <w:spacing w:line="360" w:lineRule="auto"/>
        <w:jc w:val="both"/>
        <w:rPr>
          <w:rFonts w:ascii="Adobe Garamond Pro" w:eastAsia="Calibri" w:hAnsi="Adobe Garamond Pro" w:cs="Times New Roman"/>
          <w:kern w:val="2"/>
          <w14:ligatures w14:val="standardContextual"/>
        </w:rPr>
      </w:pPr>
    </w:p>
    <w:p w14:paraId="4F925CC2" w14:textId="77777777" w:rsidR="00BD31BA" w:rsidRPr="009762AE" w:rsidRDefault="00BD31BA" w:rsidP="00BD31BA">
      <w:pPr>
        <w:spacing w:line="360" w:lineRule="auto"/>
        <w:jc w:val="both"/>
        <w:rPr>
          <w:rFonts w:ascii="Adobe Garamond Pro" w:eastAsia="Calibri" w:hAnsi="Adobe Garamond Pro" w:cs="Times New Roman"/>
          <w:b/>
          <w:bCs/>
          <w:kern w:val="2"/>
          <w14:ligatures w14:val="standardContextual"/>
        </w:rPr>
      </w:pPr>
      <w:r w:rsidRPr="009762AE">
        <w:rPr>
          <w:rFonts w:ascii="Adobe Garamond Pro" w:eastAsia="Calibri" w:hAnsi="Adobe Garamond Pro" w:cs="Times New Roman"/>
          <w:b/>
          <w:bCs/>
          <w:kern w:val="2"/>
          <w14:ligatures w14:val="standardContextual"/>
        </w:rPr>
        <w:t>Internal Rate of Return (IRR) calculation table with an interest rate of 500%</w:t>
      </w:r>
    </w:p>
    <w:p w14:paraId="23E82DCE" w14:textId="2CC4A0DE" w:rsidR="006B65D5" w:rsidRPr="009762AE" w:rsidRDefault="006B65D5" w:rsidP="006B65D5">
      <w:pPr>
        <w:pStyle w:val="Caption"/>
        <w:rPr>
          <w:rFonts w:ascii="Adobe Garamond Pro" w:hAnsi="Adobe Garamond Pro" w:cs="Times New Roman"/>
          <w:b/>
          <w:bCs/>
          <w:i w:val="0"/>
          <w:iCs w:val="0"/>
          <w:color w:val="auto"/>
          <w:kern w:val="2"/>
          <w:sz w:val="22"/>
          <w:szCs w:val="22"/>
          <w:lang w:val="en-US"/>
          <w14:ligatures w14:val="standardContextual"/>
        </w:rPr>
      </w:pPr>
      <w:r w:rsidRPr="009762AE">
        <w:rPr>
          <w:rFonts w:ascii="Adobe Garamond Pro" w:hAnsi="Adobe Garamond Pro" w:cs="Times New Roman"/>
          <w:b/>
          <w:bCs/>
          <w:i w:val="0"/>
          <w:iCs w:val="0"/>
          <w:color w:val="auto"/>
          <w:sz w:val="22"/>
          <w:szCs w:val="22"/>
        </w:rPr>
        <w:t xml:space="preserve">Tabel </w:t>
      </w:r>
      <w:r w:rsidRPr="009762AE">
        <w:rPr>
          <w:rFonts w:ascii="Adobe Garamond Pro" w:hAnsi="Adobe Garamond Pro" w:cs="Times New Roman"/>
          <w:b/>
          <w:bCs/>
          <w:i w:val="0"/>
          <w:iCs w:val="0"/>
          <w:color w:val="auto"/>
          <w:sz w:val="22"/>
          <w:szCs w:val="22"/>
        </w:rPr>
        <w:fldChar w:fldCharType="begin"/>
      </w:r>
      <w:r w:rsidRPr="009762AE">
        <w:rPr>
          <w:rFonts w:ascii="Adobe Garamond Pro" w:hAnsi="Adobe Garamond Pro" w:cs="Times New Roman"/>
          <w:b/>
          <w:bCs/>
          <w:i w:val="0"/>
          <w:iCs w:val="0"/>
          <w:color w:val="auto"/>
          <w:sz w:val="22"/>
          <w:szCs w:val="22"/>
        </w:rPr>
        <w:instrText xml:space="preserve"> SEQ Tabel_1. \* ARABIC </w:instrText>
      </w:r>
      <w:r w:rsidRPr="009762AE">
        <w:rPr>
          <w:rFonts w:ascii="Adobe Garamond Pro" w:hAnsi="Adobe Garamond Pro" w:cs="Times New Roman"/>
          <w:b/>
          <w:bCs/>
          <w:i w:val="0"/>
          <w:iCs w:val="0"/>
          <w:color w:val="auto"/>
          <w:sz w:val="22"/>
          <w:szCs w:val="22"/>
        </w:rPr>
        <w:fldChar w:fldCharType="separate"/>
      </w:r>
      <w:r w:rsidRPr="009762AE">
        <w:rPr>
          <w:rFonts w:ascii="Adobe Garamond Pro" w:hAnsi="Adobe Garamond Pro" w:cs="Times New Roman"/>
          <w:b/>
          <w:bCs/>
          <w:i w:val="0"/>
          <w:iCs w:val="0"/>
          <w:noProof/>
          <w:color w:val="auto"/>
          <w:sz w:val="22"/>
          <w:szCs w:val="22"/>
        </w:rPr>
        <w:t>5</w:t>
      </w:r>
      <w:r w:rsidRPr="009762AE">
        <w:rPr>
          <w:rFonts w:ascii="Adobe Garamond Pro" w:hAnsi="Adobe Garamond Pro" w:cs="Times New Roman"/>
          <w:b/>
          <w:bCs/>
          <w:i w:val="0"/>
          <w:iCs w:val="0"/>
          <w:color w:val="auto"/>
          <w:sz w:val="22"/>
          <w:szCs w:val="22"/>
        </w:rPr>
        <w:fldChar w:fldCharType="end"/>
      </w:r>
      <w:r w:rsidRPr="009762AE">
        <w:rPr>
          <w:rFonts w:ascii="Adobe Garamond Pro" w:hAnsi="Adobe Garamond Pro" w:cs="Times New Roman"/>
          <w:b/>
          <w:bCs/>
          <w:i w:val="0"/>
          <w:iCs w:val="0"/>
          <w:color w:val="auto"/>
          <w:sz w:val="22"/>
          <w:szCs w:val="22"/>
          <w:lang w:val="en-US"/>
        </w:rPr>
        <w:t>.</w:t>
      </w:r>
      <w:r w:rsidRPr="009762AE">
        <w:rPr>
          <w:rFonts w:ascii="Adobe Garamond Pro" w:hAnsi="Adobe Garamond Pro" w:cs="Times New Roman"/>
          <w:i w:val="0"/>
          <w:iCs w:val="0"/>
          <w:color w:val="auto"/>
          <w:sz w:val="22"/>
          <w:szCs w:val="22"/>
          <w:lang w:val="en-US"/>
        </w:rPr>
        <w:t xml:space="preserve"> Calculation Internal Rate of Return (IRR) 500%</w:t>
      </w:r>
    </w:p>
    <w:tbl>
      <w:tblPr>
        <w:tblStyle w:val="TableGrid1"/>
        <w:tblW w:w="0" w:type="auto"/>
        <w:tblLook w:val="04A0" w:firstRow="1" w:lastRow="0" w:firstColumn="1" w:lastColumn="0" w:noHBand="0" w:noVBand="1"/>
      </w:tblPr>
      <w:tblGrid>
        <w:gridCol w:w="959"/>
        <w:gridCol w:w="3436"/>
        <w:gridCol w:w="2340"/>
        <w:gridCol w:w="2291"/>
      </w:tblGrid>
      <w:tr w:rsidR="00BD31BA" w:rsidRPr="00BD31BA" w14:paraId="0BDEA658" w14:textId="77777777" w:rsidTr="00C00FBC">
        <w:trPr>
          <w:trHeight w:val="443"/>
        </w:trPr>
        <w:tc>
          <w:tcPr>
            <w:tcW w:w="959" w:type="dxa"/>
            <w:tcBorders>
              <w:left w:val="nil"/>
              <w:right w:val="nil"/>
            </w:tcBorders>
            <w:shd w:val="clear" w:color="auto" w:fill="C5E0B3"/>
            <w:vAlign w:val="center"/>
          </w:tcPr>
          <w:p w14:paraId="3CFD5698"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Year</w:t>
            </w:r>
          </w:p>
        </w:tc>
        <w:tc>
          <w:tcPr>
            <w:tcW w:w="3436" w:type="dxa"/>
            <w:tcBorders>
              <w:left w:val="nil"/>
              <w:right w:val="nil"/>
            </w:tcBorders>
            <w:shd w:val="clear" w:color="auto" w:fill="C5E0B3"/>
            <w:vAlign w:val="center"/>
          </w:tcPr>
          <w:p w14:paraId="5DEFD012"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Cash Flow (CFt)</w:t>
            </w:r>
          </w:p>
        </w:tc>
        <w:tc>
          <w:tcPr>
            <w:tcW w:w="2340" w:type="dxa"/>
            <w:tcBorders>
              <w:left w:val="nil"/>
              <w:right w:val="nil"/>
            </w:tcBorders>
            <w:shd w:val="clear" w:color="auto" w:fill="C5E0B3"/>
            <w:vAlign w:val="center"/>
          </w:tcPr>
          <w:p w14:paraId="540E2DFC"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Discount (500%)</w:t>
            </w:r>
          </w:p>
        </w:tc>
        <w:tc>
          <w:tcPr>
            <w:tcW w:w="2291" w:type="dxa"/>
            <w:tcBorders>
              <w:left w:val="nil"/>
              <w:right w:val="nil"/>
            </w:tcBorders>
            <w:shd w:val="clear" w:color="auto" w:fill="C5E0B3"/>
          </w:tcPr>
          <w:p w14:paraId="3F070885"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Current Value (Rp)</w:t>
            </w:r>
          </w:p>
        </w:tc>
      </w:tr>
      <w:tr w:rsidR="00BD31BA" w:rsidRPr="00BD31BA" w14:paraId="174B013A" w14:textId="77777777" w:rsidTr="00C00FBC">
        <w:tc>
          <w:tcPr>
            <w:tcW w:w="959" w:type="dxa"/>
            <w:tcBorders>
              <w:left w:val="nil"/>
              <w:right w:val="nil"/>
            </w:tcBorders>
            <w:vAlign w:val="center"/>
          </w:tcPr>
          <w:p w14:paraId="77A03124"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1</w:t>
            </w:r>
          </w:p>
        </w:tc>
        <w:tc>
          <w:tcPr>
            <w:tcW w:w="3436" w:type="dxa"/>
            <w:tcBorders>
              <w:left w:val="nil"/>
              <w:right w:val="nil"/>
            </w:tcBorders>
            <w:vAlign w:val="center"/>
          </w:tcPr>
          <w:p w14:paraId="578A349A"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340" w:type="dxa"/>
            <w:tcBorders>
              <w:left w:val="nil"/>
              <w:right w:val="nil"/>
            </w:tcBorders>
            <w:vAlign w:val="center"/>
          </w:tcPr>
          <w:p w14:paraId="6C10E1F7"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0,1666667</w:t>
            </w:r>
          </w:p>
        </w:tc>
        <w:tc>
          <w:tcPr>
            <w:tcW w:w="2291" w:type="dxa"/>
            <w:tcBorders>
              <w:left w:val="nil"/>
              <w:right w:val="nil"/>
            </w:tcBorders>
            <w:vAlign w:val="center"/>
          </w:tcPr>
          <w:p w14:paraId="5EB9C1C1"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4.000.000</w:t>
            </w:r>
          </w:p>
        </w:tc>
      </w:tr>
      <w:tr w:rsidR="00BD31BA" w:rsidRPr="00BD31BA" w14:paraId="6394D72C" w14:textId="77777777" w:rsidTr="00C00FBC">
        <w:tc>
          <w:tcPr>
            <w:tcW w:w="959" w:type="dxa"/>
            <w:tcBorders>
              <w:left w:val="nil"/>
              <w:right w:val="nil"/>
            </w:tcBorders>
            <w:vAlign w:val="center"/>
          </w:tcPr>
          <w:p w14:paraId="337AC811"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2</w:t>
            </w:r>
          </w:p>
        </w:tc>
        <w:tc>
          <w:tcPr>
            <w:tcW w:w="3436" w:type="dxa"/>
            <w:tcBorders>
              <w:left w:val="nil"/>
              <w:right w:val="nil"/>
            </w:tcBorders>
            <w:vAlign w:val="center"/>
          </w:tcPr>
          <w:p w14:paraId="0859FE49"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340" w:type="dxa"/>
            <w:tcBorders>
              <w:left w:val="nil"/>
              <w:right w:val="nil"/>
            </w:tcBorders>
            <w:vAlign w:val="center"/>
          </w:tcPr>
          <w:p w14:paraId="7F7CDC48"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0,0277778</w:t>
            </w:r>
          </w:p>
        </w:tc>
        <w:tc>
          <w:tcPr>
            <w:tcW w:w="2291" w:type="dxa"/>
            <w:tcBorders>
              <w:left w:val="nil"/>
              <w:right w:val="nil"/>
            </w:tcBorders>
            <w:vAlign w:val="center"/>
          </w:tcPr>
          <w:p w14:paraId="741BA4F9"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666.667</w:t>
            </w:r>
          </w:p>
        </w:tc>
      </w:tr>
      <w:tr w:rsidR="00BD31BA" w:rsidRPr="00BD31BA" w14:paraId="58B78DAC" w14:textId="77777777" w:rsidTr="00C00FBC">
        <w:tc>
          <w:tcPr>
            <w:tcW w:w="959" w:type="dxa"/>
            <w:tcBorders>
              <w:left w:val="nil"/>
              <w:right w:val="nil"/>
            </w:tcBorders>
            <w:vAlign w:val="center"/>
          </w:tcPr>
          <w:p w14:paraId="600F906B"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3</w:t>
            </w:r>
          </w:p>
        </w:tc>
        <w:tc>
          <w:tcPr>
            <w:tcW w:w="3436" w:type="dxa"/>
            <w:tcBorders>
              <w:left w:val="nil"/>
              <w:right w:val="nil"/>
            </w:tcBorders>
            <w:vAlign w:val="center"/>
          </w:tcPr>
          <w:p w14:paraId="5024461E"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340" w:type="dxa"/>
            <w:tcBorders>
              <w:left w:val="nil"/>
              <w:right w:val="nil"/>
            </w:tcBorders>
            <w:vAlign w:val="center"/>
          </w:tcPr>
          <w:p w14:paraId="1AA2C04C"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0.0046296</w:t>
            </w:r>
          </w:p>
        </w:tc>
        <w:tc>
          <w:tcPr>
            <w:tcW w:w="2291" w:type="dxa"/>
            <w:tcBorders>
              <w:left w:val="nil"/>
              <w:right w:val="nil"/>
            </w:tcBorders>
            <w:vAlign w:val="center"/>
          </w:tcPr>
          <w:p w14:paraId="70B7DD74"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111.111</w:t>
            </w:r>
          </w:p>
        </w:tc>
      </w:tr>
      <w:tr w:rsidR="00BD31BA" w:rsidRPr="00BD31BA" w14:paraId="377B8DE5" w14:textId="77777777" w:rsidTr="00C00FBC">
        <w:tc>
          <w:tcPr>
            <w:tcW w:w="959" w:type="dxa"/>
            <w:tcBorders>
              <w:left w:val="nil"/>
              <w:right w:val="nil"/>
            </w:tcBorders>
            <w:vAlign w:val="center"/>
          </w:tcPr>
          <w:p w14:paraId="14C2D3EE"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lastRenderedPageBreak/>
              <w:t>4</w:t>
            </w:r>
          </w:p>
        </w:tc>
        <w:tc>
          <w:tcPr>
            <w:tcW w:w="3436" w:type="dxa"/>
            <w:tcBorders>
              <w:left w:val="nil"/>
              <w:right w:val="nil"/>
            </w:tcBorders>
            <w:vAlign w:val="center"/>
          </w:tcPr>
          <w:p w14:paraId="11492024"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340" w:type="dxa"/>
            <w:tcBorders>
              <w:left w:val="nil"/>
              <w:right w:val="nil"/>
            </w:tcBorders>
            <w:vAlign w:val="center"/>
          </w:tcPr>
          <w:p w14:paraId="3D62ADEA"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0,0007716</w:t>
            </w:r>
          </w:p>
        </w:tc>
        <w:tc>
          <w:tcPr>
            <w:tcW w:w="2291" w:type="dxa"/>
            <w:tcBorders>
              <w:left w:val="nil"/>
              <w:right w:val="nil"/>
            </w:tcBorders>
            <w:vAlign w:val="center"/>
          </w:tcPr>
          <w:p w14:paraId="0DB6C3A0"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18.519</w:t>
            </w:r>
          </w:p>
        </w:tc>
      </w:tr>
      <w:tr w:rsidR="00BD31BA" w:rsidRPr="00BD31BA" w14:paraId="3C4B37F9" w14:textId="77777777" w:rsidTr="00C00FBC">
        <w:tc>
          <w:tcPr>
            <w:tcW w:w="959" w:type="dxa"/>
            <w:tcBorders>
              <w:left w:val="nil"/>
              <w:right w:val="nil"/>
            </w:tcBorders>
            <w:vAlign w:val="center"/>
          </w:tcPr>
          <w:p w14:paraId="19FF4995"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5</w:t>
            </w:r>
          </w:p>
        </w:tc>
        <w:tc>
          <w:tcPr>
            <w:tcW w:w="3436" w:type="dxa"/>
            <w:tcBorders>
              <w:left w:val="nil"/>
              <w:right w:val="nil"/>
            </w:tcBorders>
            <w:vAlign w:val="center"/>
          </w:tcPr>
          <w:p w14:paraId="71B6A63A" w14:textId="77777777" w:rsidR="00BD31BA" w:rsidRPr="00BD31BA" w:rsidRDefault="00BD31BA" w:rsidP="00BD31BA">
            <w:pPr>
              <w:spacing w:line="360" w:lineRule="auto"/>
              <w:ind w:left="1560"/>
              <w:jc w:val="both"/>
              <w:rPr>
                <w:rFonts w:ascii="Adobe Garamond Pro" w:eastAsia="Calibri" w:hAnsi="Adobe Garamond Pro" w:cs="Times New Roman"/>
              </w:rPr>
            </w:pPr>
            <w:r w:rsidRPr="00BD31BA">
              <w:rPr>
                <w:rFonts w:ascii="Adobe Garamond Pro" w:eastAsia="Calibri" w:hAnsi="Adobe Garamond Pro" w:cs="Times New Roman"/>
              </w:rPr>
              <w:t>IDR 24,000,000</w:t>
            </w:r>
          </w:p>
        </w:tc>
        <w:tc>
          <w:tcPr>
            <w:tcW w:w="2340" w:type="dxa"/>
            <w:tcBorders>
              <w:left w:val="nil"/>
              <w:right w:val="nil"/>
            </w:tcBorders>
            <w:vAlign w:val="center"/>
          </w:tcPr>
          <w:p w14:paraId="0713FBC1"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0,0001286</w:t>
            </w:r>
          </w:p>
        </w:tc>
        <w:tc>
          <w:tcPr>
            <w:tcW w:w="2291" w:type="dxa"/>
            <w:tcBorders>
              <w:left w:val="nil"/>
              <w:right w:val="nil"/>
            </w:tcBorders>
            <w:vAlign w:val="center"/>
          </w:tcPr>
          <w:p w14:paraId="24ADD82F" w14:textId="77777777" w:rsidR="00BD31BA" w:rsidRPr="00BD31BA" w:rsidRDefault="00BD31BA" w:rsidP="00BD31BA">
            <w:pPr>
              <w:spacing w:line="360" w:lineRule="auto"/>
              <w:jc w:val="both"/>
              <w:rPr>
                <w:rFonts w:ascii="Adobe Garamond Pro" w:eastAsia="Calibri" w:hAnsi="Adobe Garamond Pro" w:cs="Times New Roman"/>
              </w:rPr>
            </w:pPr>
            <w:r w:rsidRPr="00BD31BA">
              <w:rPr>
                <w:rFonts w:ascii="Adobe Garamond Pro" w:eastAsia="Calibri" w:hAnsi="Adobe Garamond Pro" w:cs="Times New Roman"/>
              </w:rPr>
              <w:t>3.086</w:t>
            </w:r>
          </w:p>
        </w:tc>
      </w:tr>
      <w:tr w:rsidR="00BD31BA" w:rsidRPr="00BD31BA" w14:paraId="17246836" w14:textId="77777777" w:rsidTr="00C00FBC">
        <w:trPr>
          <w:trHeight w:val="367"/>
        </w:trPr>
        <w:tc>
          <w:tcPr>
            <w:tcW w:w="6735" w:type="dxa"/>
            <w:gridSpan w:val="3"/>
            <w:tcBorders>
              <w:left w:val="nil"/>
              <w:right w:val="nil"/>
            </w:tcBorders>
            <w:shd w:val="clear" w:color="auto" w:fill="C5E0B3"/>
            <w:vAlign w:val="center"/>
          </w:tcPr>
          <w:p w14:paraId="2CAF2E70"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Total HP</w:t>
            </w:r>
          </w:p>
        </w:tc>
        <w:tc>
          <w:tcPr>
            <w:tcW w:w="2291" w:type="dxa"/>
            <w:tcBorders>
              <w:left w:val="nil"/>
              <w:right w:val="nil"/>
            </w:tcBorders>
            <w:shd w:val="clear" w:color="auto" w:fill="C5E0B3"/>
            <w:vAlign w:val="center"/>
          </w:tcPr>
          <w:p w14:paraId="57955681" w14:textId="77777777" w:rsidR="00BD31BA" w:rsidRPr="00BD31BA" w:rsidRDefault="00BD31BA" w:rsidP="00BD31BA">
            <w:pPr>
              <w:spacing w:line="360" w:lineRule="auto"/>
              <w:jc w:val="both"/>
              <w:rPr>
                <w:rFonts w:ascii="Adobe Garamond Pro" w:eastAsia="Calibri" w:hAnsi="Adobe Garamond Pro" w:cs="Times New Roman"/>
                <w:b/>
                <w:bCs/>
              </w:rPr>
            </w:pPr>
            <w:r w:rsidRPr="00BD31BA">
              <w:rPr>
                <w:rFonts w:ascii="Adobe Garamond Pro" w:eastAsia="Calibri" w:hAnsi="Adobe Garamond Pro" w:cs="Times New Roman"/>
                <w:b/>
                <w:bCs/>
              </w:rPr>
              <w:t>4.799.383</w:t>
            </w:r>
          </w:p>
        </w:tc>
      </w:tr>
    </w:tbl>
    <w:p w14:paraId="7FBA0DEA" w14:textId="77777777" w:rsidR="006B65D5" w:rsidRPr="009762AE" w:rsidRDefault="006B65D5" w:rsidP="009762AE">
      <w:pPr>
        <w:spacing w:after="0" w:line="360" w:lineRule="auto"/>
        <w:jc w:val="both"/>
        <w:rPr>
          <w:rFonts w:ascii="Adobe Garamond Pro" w:eastAsia="Calibri" w:hAnsi="Adobe Garamond Pro" w:cs="Times New Roman"/>
          <w:b/>
          <w:bCs/>
          <w:kern w:val="2"/>
          <w14:ligatures w14:val="standardContextual"/>
        </w:rPr>
      </w:pPr>
    </w:p>
    <w:p w14:paraId="2B79F8C4" w14:textId="0E5C2311" w:rsidR="00BD31BA" w:rsidRPr="009762AE" w:rsidRDefault="00BD31BA" w:rsidP="009762AE">
      <w:pPr>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b/>
          <w:bCs/>
          <w:kern w:val="2"/>
          <w14:ligatures w14:val="standardContextual"/>
        </w:rPr>
        <w:t>NPV (500%)</w:t>
      </w:r>
      <w:r w:rsidRPr="009762AE">
        <w:rPr>
          <w:rFonts w:ascii="Adobe Garamond Pro" w:eastAsia="Calibri" w:hAnsi="Adobe Garamond Pro" w:cs="Times New Roman"/>
          <w:kern w:val="2"/>
          <w14:ligatures w14:val="standardContextual"/>
        </w:rPr>
        <w:t xml:space="preserve"> = Total Present Value – Total Investment</w:t>
      </w:r>
    </w:p>
    <w:p w14:paraId="01492EF4" w14:textId="77777777" w:rsidR="00BD31BA" w:rsidRPr="009762AE" w:rsidRDefault="00BD31BA" w:rsidP="009762AE">
      <w:pPr>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IDR 4,799,383 – IDR 5,000,000</w:t>
      </w:r>
    </w:p>
    <w:p w14:paraId="28491943" w14:textId="45DC8626" w:rsidR="00BD31BA" w:rsidRDefault="00BD31BA" w:rsidP="009762AE">
      <w:pPr>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-Rp200.617</w:t>
      </w:r>
    </w:p>
    <w:p w14:paraId="38133DFE" w14:textId="77777777" w:rsidR="00C40B61" w:rsidRPr="009762AE" w:rsidRDefault="00C40B61" w:rsidP="009762AE">
      <w:pPr>
        <w:spacing w:after="0" w:line="360" w:lineRule="auto"/>
        <w:jc w:val="both"/>
        <w:rPr>
          <w:rFonts w:ascii="Adobe Garamond Pro" w:eastAsia="Calibri" w:hAnsi="Adobe Garamond Pro" w:cs="Times New Roman"/>
          <w:kern w:val="2"/>
          <w14:ligatures w14:val="standardContextual"/>
        </w:rPr>
      </w:pPr>
    </w:p>
    <w:p w14:paraId="175AE819" w14:textId="77777777" w:rsidR="00BD31BA" w:rsidRPr="009762AE" w:rsidRDefault="00BD31BA" w:rsidP="009762AE">
      <w:pPr>
        <w:spacing w:after="0" w:line="360" w:lineRule="auto"/>
        <w:jc w:val="both"/>
        <w:rPr>
          <w:rFonts w:ascii="Adobe Garamond Pro" w:eastAsia="Calibri" w:hAnsi="Adobe Garamond Pro" w:cs="Times New Roman"/>
          <w:b/>
          <w:bCs/>
          <w:kern w:val="2"/>
          <w14:ligatures w14:val="standardContextual"/>
        </w:rPr>
      </w:pPr>
      <w:r w:rsidRPr="009762AE">
        <w:rPr>
          <w:rFonts w:ascii="Adobe Garamond Pro" w:eastAsia="Calibri" w:hAnsi="Adobe Garamond Pro" w:cs="Times New Roman"/>
          <w:b/>
          <w:bCs/>
          <w:kern w:val="2"/>
          <w14:ligatures w14:val="standardContextual"/>
        </w:rPr>
        <w:t>Payback Period (PP)</w:t>
      </w:r>
    </w:p>
    <w:p w14:paraId="1586C8DF" w14:textId="77777777" w:rsidR="00BD31BA" w:rsidRPr="009762AE" w:rsidRDefault="00BD31BA" w:rsidP="009762AE">
      <w:pPr>
        <w:spacing w:after="0" w:line="360" w:lineRule="auto"/>
        <w:jc w:val="both"/>
        <w:rPr>
          <w:rFonts w:ascii="Adobe Garamond Pro" w:eastAsia="Calibri" w:hAnsi="Adobe Garamond Pro" w:cs="Times New Roman"/>
          <w:b/>
          <w:kern w:val="2"/>
          <w14:ligatures w14:val="standardContextual"/>
        </w:rPr>
      </w:pPr>
      <w:r w:rsidRPr="009762AE">
        <w:rPr>
          <w:rFonts w:ascii="Adobe Garamond Pro" w:eastAsia="Calibri" w:hAnsi="Adobe Garamond Pro" w:cs="Times New Roman"/>
          <w:b/>
          <w:kern w:val="2"/>
          <w14:ligatures w14:val="standardContextual"/>
        </w:rPr>
        <w:t>Known:</w:t>
      </w:r>
    </w:p>
    <w:p w14:paraId="6ED4D8EB" w14:textId="77777777" w:rsidR="00BD31BA" w:rsidRPr="009762AE" w:rsidRDefault="00BD31BA" w:rsidP="009762AE">
      <w:pPr>
        <w:tabs>
          <w:tab w:val="left" w:pos="2127"/>
        </w:tabs>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Initial investment </w:t>
      </w:r>
      <w:r w:rsidRPr="009762AE">
        <w:rPr>
          <w:rFonts w:ascii="Adobe Garamond Pro" w:eastAsia="Calibri" w:hAnsi="Adobe Garamond Pro" w:cs="Times New Roman"/>
          <w:kern w:val="2"/>
          <w14:ligatures w14:val="standardContextual"/>
        </w:rPr>
        <w:tab/>
        <w:t>= IDR 5,000,000</w:t>
      </w:r>
    </w:p>
    <w:p w14:paraId="76929B44" w14:textId="77777777" w:rsidR="00BD31BA" w:rsidRPr="009762AE" w:rsidRDefault="00BD31BA" w:rsidP="009762AE">
      <w:pPr>
        <w:tabs>
          <w:tab w:val="left" w:pos="2127"/>
        </w:tabs>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Net profit per month </w:t>
      </w:r>
      <w:r w:rsidRPr="009762AE">
        <w:rPr>
          <w:rFonts w:ascii="Adobe Garamond Pro" w:eastAsia="Calibri" w:hAnsi="Adobe Garamond Pro" w:cs="Times New Roman"/>
          <w:kern w:val="2"/>
          <w14:ligatures w14:val="standardContextual"/>
        </w:rPr>
        <w:tab/>
        <w:t>= IDR 2,000,000</w:t>
      </w:r>
    </w:p>
    <w:p w14:paraId="715B6F1E" w14:textId="77777777" w:rsidR="00BD31BA" w:rsidRPr="009762AE" w:rsidRDefault="00BD31BA" w:rsidP="009762AE">
      <w:pPr>
        <w:spacing w:after="0" w:line="360" w:lineRule="auto"/>
        <w:jc w:val="both"/>
        <w:rPr>
          <w:rFonts w:ascii="Adobe Garamond Pro" w:eastAsia="Calibri" w:hAnsi="Adobe Garamond Pro" w:cs="Times New Roman"/>
          <w:kern w:val="2"/>
          <w14:ligatures w14:val="standardContextual"/>
        </w:rPr>
      </w:pPr>
      <m:oMathPara>
        <m:oMath>
          <m:r>
            <m:rPr>
              <m:sty m:val="p"/>
            </m:rPr>
            <w:rPr>
              <w:rFonts w:ascii="Cambria Math" w:eastAsia="Calibri" w:hAnsi="Cambria Math" w:cs="Times New Roman"/>
              <w:kern w:val="2"/>
              <w14:ligatures w14:val="standardContextual"/>
            </w:rPr>
            <m:t>Payback=</m:t>
          </m:r>
          <m:f>
            <m:fPr>
              <m:ctrlPr>
                <w:rPr>
                  <w:rFonts w:ascii="Cambria Math" w:eastAsia="Calibri" w:hAnsi="Cambria Math" w:cs="Times New Roman"/>
                  <w:kern w:val="2"/>
                  <w14:ligatures w14:val="standardContextual"/>
                </w:rPr>
              </m:ctrlPr>
            </m:fPr>
            <m:num>
              <m:r>
                <m:rPr>
                  <m:sty m:val="p"/>
                </m:rPr>
                <w:rPr>
                  <w:rFonts w:ascii="Cambria Math" w:eastAsia="Calibri" w:hAnsi="Cambria Math" w:cs="Times New Roman"/>
                  <w:kern w:val="2"/>
                  <w14:ligatures w14:val="standardContextual"/>
                </w:rPr>
                <m:t>Rp5.000.000</m:t>
              </m:r>
            </m:num>
            <m:den>
              <m:r>
                <m:rPr>
                  <m:sty m:val="p"/>
                </m:rPr>
                <w:rPr>
                  <w:rFonts w:ascii="Cambria Math" w:eastAsia="Calibri" w:hAnsi="Cambria Math" w:cs="Times New Roman"/>
                  <w:kern w:val="2"/>
                  <w14:ligatures w14:val="standardContextual"/>
                </w:rPr>
                <m:t>Rp2.000.000</m:t>
              </m:r>
            </m:den>
          </m:f>
          <m:r>
            <m:rPr>
              <m:sty m:val="p"/>
            </m:rPr>
            <w:rPr>
              <w:rFonts w:ascii="Cambria Math" w:eastAsia="Calibri" w:hAnsi="Cambria Math" w:cs="Times New Roman"/>
              <w:kern w:val="2"/>
              <w14:ligatures w14:val="standardContextual"/>
            </w:rPr>
            <m:t>=2,5 bulan</m:t>
          </m:r>
        </m:oMath>
      </m:oMathPara>
    </w:p>
    <w:p w14:paraId="5C987A77" w14:textId="553DF91D" w:rsidR="00BD31BA"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The calculation results show that PP = 2.5 months, where capital returns in less than 3 months, which is very fast for micro business scale. These findings are in line with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{"citationItems":[{"id":"ITEM-1","itemData":{"DOI":"10.31000/dmj.v8i1.10509","abstract":"This study aims to determine the business feasibility of the Frustashit Store business in terms of non-financial aspects through legal aspects and market and marketing aspects and financial aspects, namely financial aspects through the criteria for using the calculation of the results of the Payback Period, Net Present Value, Internal Rate of Return and Profitability Index. This research was analyzed using qualitative methods with a form of field research. The results showed that Frustashit Store MSMEs from the legal aspect were declared still not feasible because they had not completed the license letters, the market and marketing aspects were feasible because the products were of quality, affordable prices, wide distribution coverage and promotions carried out were attractive and from the results of the financial aspects were declared feasible because the acquisition of a positive NPV value&gt; 0 of Rp 493,790,500, IRR value&gt; interest rate of 16%, Payback Period (PP) obtained &lt; investment life, namely 3 months 2 weeks, and Profability Index (PI)&gt; 1, namely 3.66%.","author":[{"dropping-particle":"","family":"Melani","given":"Syeila","non-dropping-particle":"","parse-names":false,"suffix":""},{"dropping-particle":"","family":"Elisah","given":"Elisah","non-dropping-particle":"","parse-names":false,"suffix":""},{"dropping-particle":"","family":"Maharani","given":"Sofia","non-dropping-particle":"","parse-names":false,"suffix":""},{"dropping-particle":"","family":"Devy","given":"Jagad Kusuma","non-dropping-particle":"","parse-names":false,"suffix":""},{"dropping-particle":"","family":"Widodasih","given":"RR. Wening Ken","non-dropping-particle":"","parse-names":false,"suffix":""}],"container-title":"Dynamic Management Journal","id":"ITEM-1","issue":"1","issued":{"date-parts":[["2024"]]},"page":"121","title":"Business Feasibility Study Analysis of the Frustashit Store Business in Terms of Non-Financial Aspects and Financial Aspects","type":"article-journal","volume":"8"},"uris":["http://www.mendeley.com/documents/?uuid=2b31ed14-ddd1-410c-9c93-0c53befb03bc","http://www.mendeley.com/documents/?uuid=2c5caf81-0164-48ce-8f77-06c614866d3f"]}],"mendeley":{"formattedCitation":"(Melani et al. 2024)","manualFormatting":"Melani et al. (2024)","plainTextFormattedCitation":"(Melani et al. 2024)","previouslyFormattedCitation":"(Melani et al.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Pr="009762AE">
        <w:rPr>
          <w:rFonts w:ascii="Adobe Garamond Pro" w:eastAsia="Calibri" w:hAnsi="Adobe Garamond Pro" w:cs="Times New Roman"/>
          <w:noProof/>
          <w:kern w:val="2"/>
          <w14:ligatures w14:val="standardContextual"/>
        </w:rPr>
        <w:t>Melani et al.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in journals Dynamic Management Journal, which states that micro enterprises with a return period of less than 6 months have a very low investment risk profile.</w:t>
      </w:r>
    </w:p>
    <w:p w14:paraId="458A9E15" w14:textId="77777777" w:rsidR="00C40B61" w:rsidRPr="009762AE" w:rsidRDefault="00C40B61" w:rsidP="009762AE">
      <w:pPr>
        <w:spacing w:after="0" w:line="360" w:lineRule="auto"/>
        <w:jc w:val="both"/>
        <w:rPr>
          <w:rFonts w:ascii="Adobe Garamond Pro" w:eastAsia="Calibri" w:hAnsi="Adobe Garamond Pro" w:cs="Times New Roman"/>
          <w:kern w:val="2"/>
          <w14:ligatures w14:val="standardContextual"/>
        </w:rPr>
      </w:pPr>
    </w:p>
    <w:p w14:paraId="609F1779" w14:textId="77777777" w:rsidR="00BD31BA" w:rsidRPr="009762AE" w:rsidRDefault="00BD31BA" w:rsidP="009762AE">
      <w:pPr>
        <w:spacing w:after="0" w:line="360" w:lineRule="auto"/>
        <w:jc w:val="both"/>
        <w:rPr>
          <w:rFonts w:ascii="Adobe Garamond Pro" w:eastAsia="Calibri" w:hAnsi="Adobe Garamond Pro" w:cs="Times New Roman"/>
          <w:b/>
          <w:bCs/>
          <w:kern w:val="2"/>
          <w14:ligatures w14:val="standardContextual"/>
        </w:rPr>
      </w:pPr>
      <w:r w:rsidRPr="009762AE">
        <w:rPr>
          <w:rFonts w:ascii="Adobe Garamond Pro" w:eastAsia="Calibri" w:hAnsi="Adobe Garamond Pro" w:cs="Times New Roman"/>
          <w:b/>
          <w:bCs/>
          <w:kern w:val="2"/>
          <w14:ligatures w14:val="standardContextual"/>
        </w:rPr>
        <w:t>Break-Even Point (BEP)</w:t>
      </w:r>
    </w:p>
    <w:p w14:paraId="52545A8B" w14:textId="77777777" w:rsidR="00BD31BA" w:rsidRPr="009762AE" w:rsidRDefault="00BD31BA" w:rsidP="009762AE">
      <w:pPr>
        <w:spacing w:after="0" w:line="360" w:lineRule="auto"/>
        <w:jc w:val="both"/>
        <w:rPr>
          <w:rFonts w:ascii="Adobe Garamond Pro" w:eastAsia="Calibri" w:hAnsi="Adobe Garamond Pro" w:cs="Times New Roman"/>
          <w:b/>
          <w:kern w:val="2"/>
          <w14:ligatures w14:val="standardContextual"/>
        </w:rPr>
      </w:pPr>
      <w:r w:rsidRPr="009762AE">
        <w:rPr>
          <w:rFonts w:ascii="Adobe Garamond Pro" w:eastAsia="Calibri" w:hAnsi="Adobe Garamond Pro" w:cs="Times New Roman"/>
          <w:b/>
          <w:kern w:val="2"/>
          <w14:ligatures w14:val="standardContextual"/>
        </w:rPr>
        <w:t>Known:</w:t>
      </w:r>
    </w:p>
    <w:p w14:paraId="09225B52" w14:textId="77777777" w:rsidR="00BD31BA" w:rsidRPr="009762AE" w:rsidRDefault="00BD31BA" w:rsidP="009762AE">
      <w:pPr>
        <w:tabs>
          <w:tab w:val="left" w:pos="426"/>
        </w:tabs>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FC </w:t>
      </w:r>
      <w:r w:rsidRPr="009762AE">
        <w:rPr>
          <w:rFonts w:ascii="Adobe Garamond Pro" w:eastAsia="Calibri" w:hAnsi="Adobe Garamond Pro" w:cs="Times New Roman"/>
          <w:kern w:val="2"/>
          <w14:ligatures w14:val="standardContextual"/>
        </w:rPr>
        <w:tab/>
        <w:t>= IDR 3,763,281.45</w:t>
      </w:r>
    </w:p>
    <w:p w14:paraId="0615FD95" w14:textId="77777777" w:rsidR="00BD31BA" w:rsidRPr="009762AE" w:rsidRDefault="00BD31BA" w:rsidP="009762AE">
      <w:pPr>
        <w:tabs>
          <w:tab w:val="left" w:pos="426"/>
        </w:tabs>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VC </w:t>
      </w:r>
      <w:r w:rsidRPr="009762AE">
        <w:rPr>
          <w:rFonts w:ascii="Adobe Garamond Pro" w:eastAsia="Calibri" w:hAnsi="Adobe Garamond Pro" w:cs="Times New Roman"/>
          <w:kern w:val="2"/>
          <w14:ligatures w14:val="standardContextual"/>
        </w:rPr>
        <w:tab/>
        <w:t>= IDR 8,362.85</w:t>
      </w:r>
    </w:p>
    <w:p w14:paraId="14ADF7BA" w14:textId="77777777" w:rsidR="00BD31BA" w:rsidRPr="009762AE" w:rsidRDefault="00BD31BA" w:rsidP="009762AE">
      <w:pPr>
        <w:tabs>
          <w:tab w:val="left" w:pos="426"/>
        </w:tabs>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P </w:t>
      </w:r>
      <w:r w:rsidRPr="009762AE">
        <w:rPr>
          <w:rFonts w:ascii="Adobe Garamond Pro" w:eastAsia="Calibri" w:hAnsi="Adobe Garamond Pro" w:cs="Times New Roman"/>
          <w:kern w:val="2"/>
          <w14:ligatures w14:val="standardContextual"/>
        </w:rPr>
        <w:tab/>
        <w:t>= IDR 20,000</w:t>
      </w:r>
    </w:p>
    <w:p w14:paraId="71054FB1" w14:textId="77777777" w:rsidR="00BD31BA" w:rsidRPr="009762AE" w:rsidRDefault="00BD31BA" w:rsidP="009762AE">
      <w:pPr>
        <w:spacing w:after="0" w:line="360" w:lineRule="auto"/>
        <w:jc w:val="both"/>
        <w:rPr>
          <w:rFonts w:ascii="Adobe Garamond Pro" w:eastAsia="Calibri" w:hAnsi="Adobe Garamond Pro" w:cs="Times New Roman"/>
          <w:b/>
          <w:bCs/>
          <w:kern w:val="2"/>
          <w14:ligatures w14:val="standardContextual"/>
        </w:rPr>
      </w:pPr>
      <w:r w:rsidRPr="009762AE">
        <w:rPr>
          <w:rFonts w:ascii="Adobe Garamond Pro" w:eastAsia="Calibri" w:hAnsi="Adobe Garamond Pro" w:cs="Times New Roman"/>
          <w:b/>
          <w:bCs/>
          <w:kern w:val="2"/>
          <w14:ligatures w14:val="standardContextual"/>
        </w:rPr>
        <w:t>BEP in Unit</w:t>
      </w:r>
    </w:p>
    <w:p w14:paraId="73CF312F" w14:textId="77777777" w:rsidR="00BD31BA" w:rsidRPr="009762AE" w:rsidRDefault="00000000" w:rsidP="009762AE">
      <w:pPr>
        <w:spacing w:after="0" w:line="360" w:lineRule="auto"/>
        <w:ind w:left="1146"/>
        <w:contextualSpacing/>
        <w:jc w:val="both"/>
        <w:rPr>
          <w:rFonts w:ascii="Adobe Garamond Pro" w:eastAsia="Times New Roman" w:hAnsi="Adobe Garamond Pro" w:cs="Times New Roman"/>
          <w:kern w:val="2"/>
          <w14:ligatures w14:val="standardContextual"/>
        </w:rPr>
      </w:pPr>
      <m:oMathPara>
        <m:oMath>
          <m:sSub>
            <m:sSubPr>
              <m:ctrlPr>
                <w:rPr>
                  <w:rFonts w:ascii="Cambria Math" w:eastAsia="Calibri" w:hAnsi="Cambria Math" w:cs="Times New Roman"/>
                  <w:i/>
                  <w:kern w:val="2"/>
                  <w14:ligatures w14:val="standardContextual"/>
                </w:rPr>
              </m:ctrlPr>
            </m:sSubPr>
            <m:e>
              <m:r>
                <w:rPr>
                  <w:rFonts w:ascii="Cambria Math" w:eastAsia="Calibri" w:hAnsi="Cambria Math" w:cs="Times New Roman"/>
                  <w:kern w:val="2"/>
                  <w14:ligatures w14:val="standardContextual"/>
                </w:rPr>
                <m:t>BEP</m:t>
              </m:r>
            </m:e>
            <m:sub>
              <m:r>
                <w:rPr>
                  <w:rFonts w:ascii="Cambria Math" w:eastAsia="Calibri" w:hAnsi="Cambria Math" w:cs="Times New Roman"/>
                  <w:kern w:val="2"/>
                  <w14:ligatures w14:val="standardContextual"/>
                </w:rPr>
                <m:t>unit</m:t>
              </m:r>
            </m:sub>
          </m:sSub>
          <m:r>
            <w:rPr>
              <w:rFonts w:ascii="Cambria Math" w:eastAsia="Cambria Math" w:hAnsi="Cambria Math" w:cs="Times New Roman"/>
              <w:kern w:val="2"/>
              <w14:ligatures w14:val="standardContextual"/>
            </w:rPr>
            <m:t>=</m:t>
          </m:r>
          <m:f>
            <m:fPr>
              <m:ctrlPr>
                <w:rPr>
                  <w:rFonts w:ascii="Cambria Math" w:eastAsia="Calibri" w:hAnsi="Cambria Math" w:cs="Times New Roman"/>
                  <w:kern w:val="2"/>
                  <w14:ligatures w14:val="standardContextual"/>
                </w:rPr>
              </m:ctrlPr>
            </m:fPr>
            <m:num>
              <m:r>
                <m:rPr>
                  <m:sty m:val="p"/>
                </m:rPr>
                <w:rPr>
                  <w:rFonts w:ascii="Cambria Math" w:eastAsia="Times New Roman" w:hAnsi="Cambria Math" w:cs="Times New Roman"/>
                  <w:kern w:val="2"/>
                  <w14:ligatures w14:val="standardContextual"/>
                </w:rPr>
                <m:t>3.763.281,45</m:t>
              </m:r>
            </m:num>
            <m:den>
              <m:r>
                <m:rPr>
                  <m:sty m:val="p"/>
                </m:rPr>
                <w:rPr>
                  <w:rFonts w:ascii="Cambria Math" w:eastAsia="Times New Roman" w:hAnsi="Cambria Math" w:cs="Times New Roman"/>
                  <w:kern w:val="2"/>
                  <w14:ligatures w14:val="standardContextual"/>
                </w:rPr>
                <m:t>20.000</m:t>
              </m:r>
              <m:r>
                <w:rPr>
                  <w:rFonts w:ascii="Cambria Math" w:eastAsia="Calibri" w:hAnsi="Cambria Math" w:cs="Times New Roman"/>
                  <w:kern w:val="2"/>
                  <w14:ligatures w14:val="standardContextual"/>
                </w:rPr>
                <m:t>-</m:t>
              </m:r>
              <m:r>
                <m:rPr>
                  <m:sty m:val="p"/>
                </m:rPr>
                <w:rPr>
                  <w:rFonts w:ascii="Cambria Math" w:eastAsia="Times New Roman" w:hAnsi="Cambria Math" w:cs="Times New Roman"/>
                  <w:kern w:val="2"/>
                  <w14:ligatures w14:val="standardContextual"/>
                </w:rPr>
                <m:t>8.362,85</m:t>
              </m:r>
            </m:den>
          </m:f>
        </m:oMath>
      </m:oMathPara>
    </w:p>
    <w:p w14:paraId="6E9EC9E3" w14:textId="77777777" w:rsidR="00BD31BA" w:rsidRPr="009762AE" w:rsidRDefault="00000000" w:rsidP="009762AE">
      <w:pPr>
        <w:spacing w:after="0" w:line="360" w:lineRule="auto"/>
        <w:ind w:left="1866"/>
        <w:contextualSpacing/>
        <w:jc w:val="both"/>
        <w:rPr>
          <w:rFonts w:ascii="Adobe Garamond Pro" w:eastAsia="Times New Roman" w:hAnsi="Adobe Garamond Pro" w:cs="Times New Roman"/>
          <w:kern w:val="2"/>
          <w14:ligatures w14:val="standardContextual"/>
        </w:rPr>
      </w:pPr>
      <m:oMathPara>
        <m:oMath>
          <m:sSub>
            <m:sSubPr>
              <m:ctrlPr>
                <w:rPr>
                  <w:rFonts w:ascii="Cambria Math" w:eastAsia="Times New Roman" w:hAnsi="Cambria Math" w:cs="Times New Roman"/>
                  <w:i/>
                  <w:kern w:val="2"/>
                  <w14:ligatures w14:val="standardContextual"/>
                </w:rPr>
              </m:ctrlPr>
            </m:sSubPr>
            <m:e>
              <m:r>
                <w:rPr>
                  <w:rFonts w:ascii="Cambria Math" w:eastAsia="Times New Roman" w:hAnsi="Cambria Math" w:cs="Times New Roman"/>
                  <w:kern w:val="2"/>
                  <w14:ligatures w14:val="standardContextual"/>
                </w:rPr>
                <m:t>BEP</m:t>
              </m:r>
            </m:e>
            <m:sub>
              <m:r>
                <w:rPr>
                  <w:rFonts w:ascii="Cambria Math" w:eastAsia="Times New Roman" w:hAnsi="Cambria Math" w:cs="Times New Roman"/>
                  <w:kern w:val="2"/>
                  <w14:ligatures w14:val="standardContextual"/>
                </w:rPr>
                <m:t>unit</m:t>
              </m:r>
            </m:sub>
          </m:sSub>
          <m:r>
            <w:rPr>
              <w:rFonts w:ascii="Cambria Math" w:eastAsia="Cambria Math" w:hAnsi="Cambria Math" w:cs="Times New Roman"/>
              <w:kern w:val="2"/>
              <w14:ligatures w14:val="standardContextual"/>
            </w:rPr>
            <m:t>=</m:t>
          </m:r>
          <m:f>
            <m:fPr>
              <m:ctrlPr>
                <w:rPr>
                  <w:rFonts w:ascii="Cambria Math" w:eastAsia="Times New Roman" w:hAnsi="Cambria Math" w:cs="Times New Roman"/>
                  <w:kern w:val="2"/>
                  <w14:ligatures w14:val="standardContextual"/>
                </w:rPr>
              </m:ctrlPr>
            </m:fPr>
            <m:num>
              <m:r>
                <m:rPr>
                  <m:sty m:val="p"/>
                </m:rPr>
                <w:rPr>
                  <w:rFonts w:ascii="Cambria Math" w:eastAsia="Times New Roman" w:hAnsi="Cambria Math" w:cs="Times New Roman"/>
                  <w:kern w:val="2"/>
                  <w14:ligatures w14:val="standardContextual"/>
                </w:rPr>
                <m:t>3.763.281,45</m:t>
              </m:r>
            </m:num>
            <m:den>
              <m:r>
                <w:rPr>
                  <w:rFonts w:ascii="Cambria Math" w:eastAsia="Times New Roman" w:hAnsi="Cambria Math" w:cs="Times New Roman"/>
                  <w:kern w:val="2"/>
                  <w14:ligatures w14:val="standardContextual"/>
                </w:rPr>
                <m:t>11.637,15</m:t>
              </m:r>
            </m:den>
          </m:f>
        </m:oMath>
      </m:oMathPara>
    </w:p>
    <w:p w14:paraId="5CB4065E" w14:textId="77777777" w:rsidR="00BD31BA" w:rsidRPr="009762AE" w:rsidRDefault="00000000" w:rsidP="009762AE">
      <w:pPr>
        <w:spacing w:after="0" w:line="360" w:lineRule="auto"/>
        <w:ind w:left="1866"/>
        <w:contextualSpacing/>
        <w:jc w:val="both"/>
        <w:rPr>
          <w:rFonts w:ascii="Adobe Garamond Pro" w:eastAsia="Times New Roman" w:hAnsi="Adobe Garamond Pro" w:cs="Times New Roman"/>
          <w:kern w:val="2"/>
          <w14:ligatures w14:val="standardContextual"/>
        </w:rPr>
      </w:pPr>
      <m:oMathPara>
        <m:oMath>
          <m:sSub>
            <m:sSubPr>
              <m:ctrlPr>
                <w:rPr>
                  <w:rFonts w:ascii="Cambria Math" w:eastAsia="Times New Roman" w:hAnsi="Cambria Math" w:cs="Times New Roman"/>
                  <w:kern w:val="2"/>
                  <w14:ligatures w14:val="standardContextual"/>
                </w:rPr>
              </m:ctrlPr>
            </m:sSubPr>
            <m:e>
              <m:r>
                <w:rPr>
                  <w:rFonts w:ascii="Cambria Math" w:eastAsia="Times New Roman" w:hAnsi="Cambria Math" w:cs="Times New Roman"/>
                  <w:kern w:val="2"/>
                  <w14:ligatures w14:val="standardContextual"/>
                </w:rPr>
                <m:t>BEP</m:t>
              </m:r>
            </m:e>
            <m:sub>
              <m:r>
                <w:rPr>
                  <w:rFonts w:ascii="Cambria Math" w:eastAsia="Times New Roman" w:hAnsi="Cambria Math" w:cs="Times New Roman"/>
                  <w:kern w:val="2"/>
                  <w14:ligatures w14:val="standardContextual"/>
                </w:rPr>
                <m:t>unit</m:t>
              </m:r>
            </m:sub>
          </m:sSub>
          <m:r>
            <w:rPr>
              <w:rFonts w:ascii="Cambria Math" w:eastAsia="Cambria Math" w:hAnsi="Cambria Math" w:cs="Times New Roman"/>
              <w:kern w:val="2"/>
              <w14:ligatures w14:val="standardContextual"/>
            </w:rPr>
            <m:t>=</m:t>
          </m:r>
          <m:r>
            <m:rPr>
              <m:sty m:val="p"/>
            </m:rPr>
            <w:rPr>
              <w:rFonts w:ascii="Cambria Math" w:eastAsia="Times New Roman" w:hAnsi="Cambria Math" w:cs="Times New Roman"/>
              <w:kern w:val="2"/>
              <w14:ligatures w14:val="standardContextual"/>
            </w:rPr>
            <m:t>323,39</m:t>
          </m:r>
        </m:oMath>
      </m:oMathPara>
    </w:p>
    <w:p w14:paraId="23D10FD2" w14:textId="216C74EA" w:rsidR="00BD31BA" w:rsidRPr="009762AE" w:rsidRDefault="00BD31BA" w:rsidP="009762AE">
      <w:pPr>
        <w:spacing w:after="0" w:line="360" w:lineRule="auto"/>
        <w:jc w:val="both"/>
        <w:rPr>
          <w:rFonts w:ascii="Adobe Garamond Pro" w:eastAsia="Times New Roman" w:hAnsi="Adobe Garamond Pro" w:cs="Times New Roman"/>
          <w:kern w:val="2"/>
          <w14:ligatures w14:val="standardContextual"/>
        </w:rPr>
      </w:pPr>
      <w:r w:rsidRPr="009762AE">
        <w:rPr>
          <w:rFonts w:ascii="Adobe Garamond Pro" w:eastAsia="Times New Roman" w:hAnsi="Adobe Garamond Pro" w:cs="Times New Roman"/>
          <w:kern w:val="2"/>
          <w14:ligatures w14:val="standardContextual"/>
        </w:rPr>
        <w:t>So the BEP of business unit is 323.39 rounded up to 324 packages.</w:t>
      </w:r>
    </w:p>
    <w:p w14:paraId="2658A4E9" w14:textId="77777777" w:rsidR="00BD31BA" w:rsidRPr="009762AE" w:rsidRDefault="00BD31BA" w:rsidP="009762AE">
      <w:pPr>
        <w:spacing w:after="0" w:line="360" w:lineRule="auto"/>
        <w:jc w:val="both"/>
        <w:rPr>
          <w:rFonts w:ascii="Adobe Garamond Pro" w:eastAsia="Times New Roman" w:hAnsi="Adobe Garamond Pro" w:cs="Times New Roman"/>
          <w:b/>
          <w:bCs/>
          <w:kern w:val="2"/>
          <w14:ligatures w14:val="standardContextual"/>
        </w:rPr>
      </w:pPr>
      <w:r w:rsidRPr="009762AE">
        <w:rPr>
          <w:rFonts w:ascii="Adobe Garamond Pro" w:eastAsia="Times New Roman" w:hAnsi="Adobe Garamond Pro" w:cs="Times New Roman"/>
          <w:b/>
          <w:bCs/>
          <w:kern w:val="2"/>
          <w14:ligatures w14:val="standardContextual"/>
        </w:rPr>
        <w:t>BEP in Rupiah</w:t>
      </w:r>
    </w:p>
    <w:p w14:paraId="31BB57C6" w14:textId="77777777" w:rsidR="00BD31BA" w:rsidRPr="009762AE" w:rsidRDefault="00000000" w:rsidP="009762AE">
      <w:pPr>
        <w:spacing w:after="0" w:line="360" w:lineRule="auto"/>
        <w:ind w:left="1866"/>
        <w:contextualSpacing/>
        <w:jc w:val="both"/>
        <w:rPr>
          <w:rFonts w:ascii="Adobe Garamond Pro" w:eastAsia="Times New Roman" w:hAnsi="Adobe Garamond Pro" w:cs="Times New Roman"/>
          <w:kern w:val="2"/>
          <w14:ligatures w14:val="standardContextual"/>
        </w:rPr>
      </w:pPr>
      <m:oMathPara>
        <m:oMath>
          <m:sSub>
            <m:sSubPr>
              <m:ctrlPr>
                <w:rPr>
                  <w:rFonts w:ascii="Cambria Math" w:eastAsia="Calibri" w:hAnsi="Cambria Math" w:cs="Times New Roman"/>
                  <w:i/>
                  <w:kern w:val="2"/>
                  <w14:ligatures w14:val="standardContextual"/>
                </w:rPr>
              </m:ctrlPr>
            </m:sSubPr>
            <m:e>
              <m:r>
                <w:rPr>
                  <w:rFonts w:ascii="Cambria Math" w:eastAsia="Calibri" w:hAnsi="Cambria Math" w:cs="Times New Roman"/>
                  <w:kern w:val="2"/>
                  <w14:ligatures w14:val="standardContextual"/>
                </w:rPr>
                <m:t>BEP</m:t>
              </m:r>
            </m:e>
            <m:sub>
              <m:r>
                <w:rPr>
                  <w:rFonts w:ascii="Cambria Math" w:eastAsia="Calibri" w:hAnsi="Cambria Math" w:cs="Times New Roman"/>
                  <w:kern w:val="2"/>
                  <w14:ligatures w14:val="standardContextual"/>
                </w:rPr>
                <m:t>rupiah</m:t>
              </m:r>
            </m:sub>
          </m:sSub>
          <m:r>
            <w:rPr>
              <w:rFonts w:ascii="Cambria Math" w:eastAsia="Cambria Math" w:hAnsi="Cambria Math" w:cs="Times New Roman"/>
              <w:kern w:val="2"/>
              <w14:ligatures w14:val="standardContextual"/>
            </w:rPr>
            <m:t>=</m:t>
          </m:r>
          <m:f>
            <m:fPr>
              <m:ctrlPr>
                <w:rPr>
                  <w:rFonts w:ascii="Cambria Math" w:eastAsia="Calibri" w:hAnsi="Cambria Math" w:cs="Times New Roman"/>
                  <w:kern w:val="2"/>
                  <w14:ligatures w14:val="standardContextual"/>
                </w:rPr>
              </m:ctrlPr>
            </m:fPr>
            <m:num>
              <m:r>
                <m:rPr>
                  <m:sty m:val="p"/>
                </m:rPr>
                <w:rPr>
                  <w:rFonts w:ascii="Cambria Math" w:eastAsia="Times New Roman" w:hAnsi="Cambria Math" w:cs="Times New Roman"/>
                  <w:kern w:val="2"/>
                  <w14:ligatures w14:val="standardContextual"/>
                </w:rPr>
                <m:t>3.763.281,45</m:t>
              </m:r>
            </m:num>
            <m:den>
              <m:f>
                <m:fPr>
                  <m:ctrlPr>
                    <w:rPr>
                      <w:rFonts w:ascii="Cambria Math" w:eastAsia="Calibri" w:hAnsi="Cambria Math" w:cs="Times New Roman"/>
                      <w:i/>
                      <w:kern w:val="2"/>
                      <w14:ligatures w14:val="standardContextual"/>
                    </w:rPr>
                  </m:ctrlPr>
                </m:fPr>
                <m:num>
                  <m:r>
                    <w:rPr>
                      <w:rFonts w:ascii="Cambria Math" w:eastAsia="Times New Roman" w:hAnsi="Cambria Math" w:cs="Times New Roman"/>
                      <w:kern w:val="2"/>
                      <w14:ligatures w14:val="standardContextual"/>
                    </w:rPr>
                    <m:t>11.637,15</m:t>
                  </m:r>
                </m:num>
                <m:den>
                  <m:r>
                    <m:rPr>
                      <m:sty m:val="p"/>
                    </m:rPr>
                    <w:rPr>
                      <w:rFonts w:ascii="Cambria Math" w:eastAsia="Times New Roman" w:hAnsi="Cambria Math" w:cs="Times New Roman"/>
                      <w:kern w:val="2"/>
                      <w14:ligatures w14:val="standardContextual"/>
                    </w:rPr>
                    <m:t>20.000</m:t>
                  </m:r>
                </m:den>
              </m:f>
            </m:den>
          </m:f>
        </m:oMath>
      </m:oMathPara>
    </w:p>
    <w:p w14:paraId="7B230FF2" w14:textId="77777777" w:rsidR="00BD31BA" w:rsidRPr="009762AE" w:rsidRDefault="00000000" w:rsidP="009762AE">
      <w:pPr>
        <w:spacing w:after="0" w:line="360" w:lineRule="auto"/>
        <w:ind w:left="1866"/>
        <w:contextualSpacing/>
        <w:jc w:val="both"/>
        <w:rPr>
          <w:rFonts w:ascii="Adobe Garamond Pro" w:eastAsia="Times New Roman" w:hAnsi="Adobe Garamond Pro" w:cs="Times New Roman"/>
          <w:kern w:val="2"/>
          <w14:ligatures w14:val="standardContextual"/>
        </w:rPr>
      </w:pPr>
      <m:oMathPara>
        <m:oMath>
          <m:sSub>
            <m:sSubPr>
              <m:ctrlPr>
                <w:rPr>
                  <w:rFonts w:ascii="Cambria Math" w:eastAsia="Calibri" w:hAnsi="Cambria Math" w:cs="Times New Roman"/>
                  <w:kern w:val="2"/>
                  <w14:ligatures w14:val="standardContextual"/>
                </w:rPr>
              </m:ctrlPr>
            </m:sSubPr>
            <m:e>
              <m:r>
                <w:rPr>
                  <w:rFonts w:ascii="Cambria Math" w:eastAsia="Calibri" w:hAnsi="Cambria Math" w:cs="Times New Roman"/>
                  <w:kern w:val="2"/>
                  <w14:ligatures w14:val="standardContextual"/>
                </w:rPr>
                <m:t>BEP</m:t>
              </m:r>
            </m:e>
            <m:sub>
              <m:r>
                <w:rPr>
                  <w:rFonts w:ascii="Cambria Math" w:eastAsia="Calibri" w:hAnsi="Cambria Math" w:cs="Times New Roman"/>
                  <w:kern w:val="2"/>
                  <w14:ligatures w14:val="standardContextual"/>
                </w:rPr>
                <m:t>rupiah</m:t>
              </m:r>
            </m:sub>
          </m:sSub>
          <m:r>
            <w:rPr>
              <w:rFonts w:ascii="Cambria Math" w:eastAsia="Cambria Math" w:hAnsi="Cambria Math" w:cs="Times New Roman"/>
              <w:kern w:val="2"/>
              <w14:ligatures w14:val="standardContextual"/>
            </w:rPr>
            <m:t>=</m:t>
          </m:r>
          <m:f>
            <m:fPr>
              <m:ctrlPr>
                <w:rPr>
                  <w:rFonts w:ascii="Cambria Math" w:eastAsia="Calibri" w:hAnsi="Cambria Math" w:cs="Times New Roman"/>
                  <w:kern w:val="2"/>
                  <w14:ligatures w14:val="standardContextual"/>
                </w:rPr>
              </m:ctrlPr>
            </m:fPr>
            <m:num>
              <m:r>
                <m:rPr>
                  <m:sty m:val="p"/>
                </m:rPr>
                <w:rPr>
                  <w:rFonts w:ascii="Cambria Math" w:eastAsia="Times New Roman" w:hAnsi="Cambria Math" w:cs="Times New Roman"/>
                  <w:kern w:val="2"/>
                  <w14:ligatures w14:val="standardContextual"/>
                </w:rPr>
                <m:t>3.763.281,45</m:t>
              </m:r>
            </m:num>
            <m:den>
              <m:r>
                <m:rPr>
                  <m:sty m:val="p"/>
                </m:rPr>
                <w:rPr>
                  <w:rFonts w:ascii="Cambria Math" w:eastAsia="Calibri" w:hAnsi="Cambria Math" w:cs="Times New Roman"/>
                  <w:kern w:val="2"/>
                  <w14:ligatures w14:val="standardContextual"/>
                </w:rPr>
                <m:t>0,5819</m:t>
              </m:r>
            </m:den>
          </m:f>
        </m:oMath>
      </m:oMathPara>
    </w:p>
    <w:p w14:paraId="0B27A447" w14:textId="77777777" w:rsidR="00BD31BA" w:rsidRPr="009762AE" w:rsidRDefault="00000000" w:rsidP="009762AE">
      <w:pPr>
        <w:spacing w:after="0" w:line="360" w:lineRule="auto"/>
        <w:ind w:left="1866"/>
        <w:contextualSpacing/>
        <w:jc w:val="both"/>
        <w:rPr>
          <w:rFonts w:ascii="Adobe Garamond Pro" w:eastAsia="Times New Roman" w:hAnsi="Adobe Garamond Pro" w:cs="Times New Roman"/>
          <w:kern w:val="2"/>
          <w14:ligatures w14:val="standardContextual"/>
        </w:rPr>
      </w:pPr>
      <m:oMathPara>
        <m:oMath>
          <m:sSub>
            <m:sSubPr>
              <m:ctrlPr>
                <w:rPr>
                  <w:rFonts w:ascii="Cambria Math" w:eastAsia="Calibri" w:hAnsi="Cambria Math" w:cs="Times New Roman"/>
                  <w:i/>
                  <w:kern w:val="2"/>
                  <w14:ligatures w14:val="standardContextual"/>
                </w:rPr>
              </m:ctrlPr>
            </m:sSubPr>
            <m:e>
              <m:r>
                <w:rPr>
                  <w:rFonts w:ascii="Cambria Math" w:eastAsia="Calibri" w:hAnsi="Cambria Math" w:cs="Times New Roman"/>
                  <w:kern w:val="2"/>
                  <w14:ligatures w14:val="standardContextual"/>
                </w:rPr>
                <m:t>BEP</m:t>
              </m:r>
            </m:e>
            <m:sub>
              <m:r>
                <w:rPr>
                  <w:rFonts w:ascii="Cambria Math" w:eastAsia="Calibri" w:hAnsi="Cambria Math" w:cs="Times New Roman"/>
                  <w:kern w:val="2"/>
                  <w14:ligatures w14:val="standardContextual"/>
                </w:rPr>
                <m:t>rupiah</m:t>
              </m:r>
            </m:sub>
          </m:sSub>
          <m:r>
            <w:rPr>
              <w:rFonts w:ascii="Cambria Math" w:eastAsia="Cambria Math" w:hAnsi="Cambria Math" w:cs="Times New Roman"/>
              <w:kern w:val="2"/>
              <w14:ligatures w14:val="standardContextual"/>
            </w:rPr>
            <m:t>=</m:t>
          </m:r>
          <m:r>
            <m:rPr>
              <m:sty m:val="p"/>
            </m:rPr>
            <w:rPr>
              <w:rFonts w:ascii="Cambria Math" w:eastAsia="Calibri" w:hAnsi="Cambria Math" w:cs="Times New Roman"/>
              <w:kern w:val="2"/>
              <w14:ligatures w14:val="standardContextual"/>
            </w:rPr>
            <m:t>Rp6.467.230,54</m:t>
          </m:r>
        </m:oMath>
      </m:oMathPara>
    </w:p>
    <w:p w14:paraId="42B9CE6F" w14:textId="77777777" w:rsidR="002A3249" w:rsidRPr="009762AE" w:rsidRDefault="00BD31BA" w:rsidP="009762AE">
      <w:pPr>
        <w:spacing w:after="0" w:line="360" w:lineRule="auto"/>
        <w:jc w:val="both"/>
        <w:rPr>
          <w:rFonts w:ascii="Adobe Garamond Pro" w:eastAsia="Times New Roman" w:hAnsi="Adobe Garamond Pro" w:cs="Times New Roman"/>
          <w:kern w:val="2"/>
          <w14:ligatures w14:val="standardContextual"/>
        </w:rPr>
      </w:pPr>
      <w:r w:rsidRPr="009762AE">
        <w:rPr>
          <w:rFonts w:ascii="Adobe Garamond Pro" w:eastAsia="Times New Roman" w:hAnsi="Adobe Garamond Pro" w:cs="Times New Roman"/>
          <w:kern w:val="2"/>
          <w14:ligatures w14:val="standardContextual"/>
        </w:rPr>
        <w:t>So the rupiah BEP of business is IDR 6,467,230.54 rounded up to IDR 6,467,000.</w:t>
      </w:r>
      <w:r w:rsidR="002A3249" w:rsidRPr="009762AE">
        <w:rPr>
          <w:rFonts w:ascii="Adobe Garamond Pro" w:eastAsia="Times New Roman" w:hAnsi="Adobe Garamond Pro" w:cs="Times New Roman"/>
          <w:kern w:val="2"/>
          <w14:ligatures w14:val="standardContextual"/>
        </w:rPr>
        <w:t xml:space="preserve"> </w:t>
      </w:r>
    </w:p>
    <w:p w14:paraId="496AE1DD" w14:textId="5C1A8871" w:rsidR="00BD31BA" w:rsidRPr="009762AE" w:rsidRDefault="00BD31BA" w:rsidP="002544F2">
      <w:pPr>
        <w:spacing w:after="0" w:line="360" w:lineRule="auto"/>
        <w:ind w:firstLine="720"/>
        <w:jc w:val="both"/>
        <w:rPr>
          <w:rFonts w:ascii="Adobe Garamond Pro" w:eastAsia="Times New Roman"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The calculation results show BEP</w:t>
      </w:r>
      <w:r w:rsidRPr="009762AE">
        <w:rPr>
          <w:rFonts w:ascii="Adobe Garamond Pro" w:eastAsia="Calibri" w:hAnsi="Adobe Garamond Pro" w:cs="Times New Roman"/>
          <w:kern w:val="2"/>
          <w:vertAlign w:val="subscript"/>
          <w14:ligatures w14:val="standardContextual"/>
        </w:rPr>
        <w:t>Unit</w:t>
      </w:r>
      <w:r w:rsidRPr="009762AE">
        <w:rPr>
          <w:rFonts w:ascii="Adobe Garamond Pro" w:eastAsia="Calibri" w:hAnsi="Adobe Garamond Pro" w:cs="Times New Roman"/>
          <w:kern w:val="2"/>
          <w14:ligatures w14:val="standardContextual"/>
        </w:rPr>
        <w:t xml:space="preserve"> = 324 packs, and BEP</w:t>
      </w:r>
      <w:r w:rsidRPr="009762AE">
        <w:rPr>
          <w:rFonts w:ascii="Adobe Garamond Pro" w:eastAsia="Calibri" w:hAnsi="Adobe Garamond Pro" w:cs="Times New Roman"/>
          <w:kern w:val="2"/>
          <w:vertAlign w:val="subscript"/>
          <w14:ligatures w14:val="standardContextual"/>
        </w:rPr>
        <w:t>rupiah</w:t>
      </w:r>
      <w:r w:rsidRPr="009762AE">
        <w:rPr>
          <w:rFonts w:ascii="Adobe Garamond Pro" w:eastAsia="Calibri" w:hAnsi="Adobe Garamond Pro" w:cs="Times New Roman"/>
          <w:kern w:val="2"/>
          <w14:ligatures w14:val="standardContextual"/>
        </w:rPr>
        <w:t xml:space="preserve"> = IDR 6,467,000, thus the business has reached a break-even point in sales of 324 packages per period. This means that production above this amount generates a net profit. These results are supported by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{"citationItems":[{"id":"ITEM-1","itemData":{"author":[{"dropping-particle":"","family":"Samanta","given":"Pinky Natalia","non-dropping-particle":"","parse-names":false,"suffix":""},{"dropping-particle":"","family":"Crista","given":"Fenny","non-dropping-particle":"","parse-names":false,"suffix":""},{"dropping-particle":"","family":"Panjaitan","given":"Anastasia","non-dropping-particle":"","parse-names":false,"suffix":""},{"dropping-particle":"","family":"Surya","given":"Gede Agus","non-dropping-particle":"","parse-names":false,"suffix":""}],"container-title":"East Asian Journal of Multidisciplinary Research (EAJMR)","id":"ITEM-1","issue":"3","issued":{"date-parts":[["2023"]]},"page":"1209-1218","title":"Business Feasibility Analysis of Shredded Layang Fish ( Decapterus ) at Thanko Shredded Fish Msmes","type":"article-journal","volume":"2"},"uris":["http://www.mendeley.com/documents/?uuid=d19b7e49-fb3a-4363-b2fb-0290ac2ce728","http://www.mendeley.com/documents/?uuid=88c75c44-eb9e-4f3b-bf46-9bbcbc8a3abf"]}],"mendeley":{"formattedCitation":"(Samanta et al. 2023)","manualFormatting":"Samanta et al. (2023)","plainTextFormattedCitation":"(Samanta et al. 2023)","previouslyFormattedCitation":"(Samanta et al. 2023)"},"properties":{"noteIndex":0},"schema":"https://github.com/citation-style-language/schema/raw/master/csl-citation.json"}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Pr="009762AE">
        <w:rPr>
          <w:rFonts w:ascii="Adobe Garamond Pro" w:eastAsia="Calibri" w:hAnsi="Adobe Garamond Pro" w:cs="Times New Roman"/>
          <w:noProof/>
          <w:kern w:val="2"/>
          <w14:ligatures w14:val="standardContextual"/>
        </w:rPr>
        <w:t>Samanta et al. (2023)</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in journals East Asian Journal of Multidisciplinary Research (EAJMR) which explains that BEP is important for profit margin planning and production cost control in home businesses.</w:t>
      </w:r>
    </w:p>
    <w:p w14:paraId="2467A923" w14:textId="71DF6F95" w:rsidR="00BD31BA"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A good financial management strategy needs to be optimized with electronic financial recording and long-term financial planning. Projected cash flow and risk management of raw material prices are necessary to maintain business stability in market fluctuations.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{"citationItems":[{"id":"ITEM-1","itemData":{"ISSN":"2579-8359","author":[{"dropping-particle":"","family":"Kesumanegara","given":"Lorendzo Andrean","non-dropping-particle":"","parse-names":false,"suffix":""},{"dropping-particle":"","family":"Ogari","given":"Putri Ayu","non-dropping-particle":"","parse-names":false,"suffix":""},{"dropping-particle":"","family":"Pusvita","given":"Ema","non-dropping-particle":"","parse-names":false,"suffix":""}],"container-title":"Jurnal Ilmiah Mahasiswa Agroinfo Galuh","id":"ITEM-1","issue":"2","issued":{"date-parts":[["2024"]]},"page":"998-1009","title":"Analisis Kelayakan Kelayakan Finansial Kuliner Agrowisata Tepian Danau Ranau Kabupaten Ogan Komering Ulu Selatan","type":"article-journal","volume":"11"},"uris":["http://www.mendeley.com/documents/?uuid=195419d9-9021-4b4c-ba1e-07ce0aa494da","http://www.mendeley.com/documents/?uuid=05ddf781-b603-4a22-ad17-96ad0dc50b36"]}],"mendeley":{"formattedCitation":"(Kesumanegara, Ogari, and Pusvita 2024)","plainTextFormattedCitation":"(Kesumanegara, Ogari, and Pusvita 2024)","previouslyFormattedCitation":"(Kesumanegara, Ogari, and Pusvita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(Kesumanegara, Ogari, and Pusvita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w:t>
      </w:r>
    </w:p>
    <w:p w14:paraId="23C88CCF" w14:textId="77777777" w:rsidR="00C40B61" w:rsidRPr="009762AE" w:rsidRDefault="00C40B61" w:rsidP="009762AE">
      <w:pPr>
        <w:spacing w:after="0" w:line="360" w:lineRule="auto"/>
        <w:jc w:val="both"/>
        <w:rPr>
          <w:rFonts w:ascii="Adobe Garamond Pro" w:eastAsia="Calibri" w:hAnsi="Adobe Garamond Pro" w:cs="Times New Roman"/>
          <w:kern w:val="2"/>
          <w14:ligatures w14:val="standardContextual"/>
        </w:rPr>
      </w:pPr>
    </w:p>
    <w:p w14:paraId="37D072FD" w14:textId="77777777" w:rsidR="00BD31BA" w:rsidRPr="009762AE" w:rsidRDefault="00BD31BA" w:rsidP="009762AE">
      <w:pPr>
        <w:spacing w:after="0" w:line="360" w:lineRule="auto"/>
        <w:jc w:val="both"/>
        <w:rPr>
          <w:rFonts w:ascii="Adobe Garamond Pro" w:eastAsia="Calibri" w:hAnsi="Adobe Garamond Pro" w:cs="Times New Roman"/>
          <w:b/>
          <w:bCs/>
          <w:kern w:val="2"/>
          <w14:ligatures w14:val="standardContextual"/>
        </w:rPr>
      </w:pPr>
      <w:r w:rsidRPr="009762AE">
        <w:rPr>
          <w:rFonts w:ascii="Adobe Garamond Pro" w:eastAsia="Calibri" w:hAnsi="Adobe Garamond Pro" w:cs="Times New Roman"/>
          <w:b/>
          <w:bCs/>
          <w:kern w:val="2"/>
          <w14:ligatures w14:val="standardContextual"/>
        </w:rPr>
        <w:t>Comparison with Previous Research</w:t>
      </w:r>
    </w:p>
    <w:p w14:paraId="52D8347E" w14:textId="42BF7ECE" w:rsidR="00BD31BA" w:rsidRPr="009762AE" w:rsidRDefault="00BD31BA" w:rsidP="009762AE">
      <w:pPr>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The results business feasibility study show strong financial indicators, with an NPV of IDR 85,978,884, an IRR of 483%, a short PP of about 2.5 months, and a realistic BEP. These findings are consistent with </w:t>
      </w:r>
      <w:r w:rsidRPr="009762AE">
        <w:rPr>
          <w:rFonts w:ascii="Adobe Garamond Pro" w:eastAsia="Calibri" w:hAnsi="Adobe Garamond Pro" w:cs="Times New Roman"/>
          <w:b/>
          <w:bCs/>
          <w:kern w:val="2"/>
          <w14:ligatures w14:val="standardContextual"/>
        </w:rPr>
        <w:fldChar w:fldCharType="begin" w:fldLock="1"/>
      </w:r>
      <w:r w:rsidR="00C40B61">
        <w:rPr>
          <w:rFonts w:ascii="Adobe Garamond Pro" w:eastAsia="Calibri" w:hAnsi="Adobe Garamond Pro" w:cs="Times New Roman"/>
          <w:b/>
          <w:bCs/>
          <w:kern w:val="2"/>
          <w14:ligatures w14:val="standardContextual"/>
        </w:rPr>
        <w:instrText>ADDIN CSL_CITATION {"citationItems":[{"id":"ITEM-1","itemData":{"author":[{"dropping-particle":"","family":"Haqiqiansyah","given":"Gusti","non-dropping-particle":"","parse-names":false,"suffix":""},{"dropping-particle":"","family":"Fidhiani","given":"Dayang Diah","non-dropping-particle":"","parse-names":false,"suffix":""},{"dropping-particle":"","family":"Randika","given":"Zul Asman","non-dropping-particle":"","parse-names":false,"suffix":""}],"id":"ITEM-1","issue":"2","issued":{"date-parts":[["2022"]]},"page":"94-100","title":"Analisis usaha pengolahan amplang di Kecamatan Sanga-Sanga Kabupaten Kutai Kartanegara","type":"article-journal","volume":"1"},"uris":["http://www.mendeley.com/documents/?uuid=87935464-de2c-4170-b1ff-e8c87aaa1bad"]}],"mendeley":{"formattedCitation":"(Haqiqiansyah, Fidhiani, and Randika 2022)","manualFormatting":"Haqiqiansyah et al. (2022)","plainTextFormattedCitation":"(Haqiqiansyah, Fidhiani, and Randika 2022)","previouslyFormattedCitation":"(Haqiqiansyah, Fidhiani, and Randika 2022)"},"properties":{"noteIndex":0},"schema":"https://github.com/citation-style-language/schema/raw/master/csl-citation.json"}</w:instrText>
      </w:r>
      <w:r w:rsidRPr="009762AE">
        <w:rPr>
          <w:rFonts w:ascii="Adobe Garamond Pro" w:eastAsia="Calibri" w:hAnsi="Adobe Garamond Pro" w:cs="Times New Roman"/>
          <w:b/>
          <w:bCs/>
          <w:kern w:val="2"/>
          <w14:ligatures w14:val="standardContextual"/>
        </w:rPr>
        <w:fldChar w:fldCharType="separate"/>
      </w:r>
      <w:r w:rsidRPr="009762AE">
        <w:rPr>
          <w:rFonts w:ascii="Adobe Garamond Pro" w:eastAsia="Calibri" w:hAnsi="Adobe Garamond Pro" w:cs="Times New Roman"/>
          <w:bCs/>
          <w:noProof/>
          <w:kern w:val="2"/>
          <w14:ligatures w14:val="standardContextual"/>
        </w:rPr>
        <w:t>Haqiqiansyah et al. (2022)</w:t>
      </w:r>
      <w:r w:rsidRPr="009762AE">
        <w:rPr>
          <w:rFonts w:ascii="Adobe Garamond Pro" w:eastAsia="Calibri" w:hAnsi="Adobe Garamond Pro" w:cs="Times New Roman"/>
          <w:b/>
          <w:bCs/>
          <w:kern w:val="2"/>
          <w14:ligatures w14:val="standardContextual"/>
        </w:rPr>
        <w:fldChar w:fldCharType="end"/>
      </w:r>
      <w:r w:rsidRPr="009762AE">
        <w:rPr>
          <w:rFonts w:ascii="Adobe Garamond Pro" w:eastAsia="Calibri" w:hAnsi="Adobe Garamond Pro" w:cs="Times New Roman"/>
          <w:b/>
          <w:bCs/>
          <w:kern w:val="2"/>
          <w14:ligatures w14:val="standardContextual"/>
        </w:rPr>
        <w:t xml:space="preserve"> </w:t>
      </w:r>
      <w:r w:rsidRPr="009762AE">
        <w:rPr>
          <w:rFonts w:ascii="Adobe Garamond Pro" w:eastAsia="Calibri" w:hAnsi="Adobe Garamond Pro" w:cs="Times New Roman"/>
          <w:kern w:val="2"/>
          <w14:ligatures w14:val="standardContextual"/>
        </w:rPr>
        <w:t>who reported a positive NPV, IRR of 40%, and a PP of 2.9 years in a similar amplang business in Kalimantan. This financial feasibility strengthens the assumption that amplang is a profitable business if managed properly.</w:t>
      </w:r>
    </w:p>
    <w:p w14:paraId="4B62A4C8" w14:textId="7F4F0AA8" w:rsidR="00BD31BA" w:rsidRPr="009762AE"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In addition, brevity Payback Period (PP) also affirms good business liquidity.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{"citationItems":[{"id":"ITEM-1","itemData":{"DOI":"10.31000/dmj.v8i1.10509","abstract":"This study aims to determine the business feasibility of the Frustashit Store business in terms of non-financial aspects through legal aspects and market and marketing aspects and financial aspects, namely financial aspects through the criteria for using the calculation of the results of the Payback Period, Net Present Value, Internal Rate of Return and Profitability Index. This research was analyzed using qualitative methods with a form of field research. The results showed that Frustashit Store MSMEs from the legal aspect were declared still not feasible because they had not completed the license letters, the market and marketing aspects were feasible because the products were of quality, affordable prices, wide distribution coverage and promotions carried out were attractive and from the results of the financial aspects were declared feasible because the acquisition of a positive NPV value&gt; 0 of Rp 493,790,500, IRR value&gt; interest rate of 16%, Payback Period (PP) obtained &lt; investment life, namely 3 months 2 weeks, and Profability Index (PI)&gt; 1, namely 3.66%.","author":[{"dropping-particle":"","family":"Melani","given":"Syeila","non-dropping-particle":"","parse-names":false,"suffix":""},{"dropping-particle":"","family":"Elisah","given":"Elisah","non-dropping-particle":"","parse-names":false,"suffix":""},{"dropping-particle":"","family":"Maharani","given":"Sofia","non-dropping-particle":"","parse-names":false,"suffix":""},{"dropping-particle":"","family":"Devy","given":"Jagad Kusuma","non-dropping-particle":"","parse-names":false,"suffix":""},{"dropping-particle":"","family":"Widodasih","given":"RR. Wening Ken","non-dropping-particle":"","parse-names":false,"suffix":""}],"container-title":"Dynamic Management Journal","id":"ITEM-1","issue":"1","issued":{"date-parts":[["2024"]]},"page":"121","title":"Business Feasibility Study Analysis of the Frustashit Store Business in Terms of Non-Financial Aspects and Financial Aspects","type":"article-journal","volume":"8"},"uris":["http://www.mendeley.com/documents/?uuid=2b31ed14-ddd1-410c-9c93-0c53befb03bc","http://www.mendeley.com/documents/?uuid=2c5caf81-0164-48ce-8f77-06c614866d3f"]}],"mendeley":{"formattedCitation":"(Melani et al. 2024)","manualFormatting":"Melani et al. (2024)","plainTextFormattedCitation":"(Melani et al. 2024)","previouslyFormattedCitation":"(Melani et al.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Pr="009762AE">
        <w:rPr>
          <w:rFonts w:ascii="Adobe Garamond Pro" w:eastAsia="Calibri" w:hAnsi="Adobe Garamond Pro" w:cs="Times New Roman"/>
          <w:noProof/>
          <w:kern w:val="2"/>
          <w14:ligatures w14:val="standardContextual"/>
        </w:rPr>
        <w:t>Melani et al.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revealed that micro businesses with a Payback Period (PP) of less than 6 months have low investment risk and good growth potential. However, it is different from the findings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{"citationItems":[{"id":"ITEM-1","itemData":{"ISBN":"2005031100","author":[{"dropping-particle":"","family":"Hn &amp; Solekah","given":"Lailatus Syarifah; Aslamatis; Nihayatu;","non-dropping-particle":"","parse-names":false,"suffix":""}],"container-title":"Maliki Interdisciplinary Journal (MIJ) eISSN","id":"ITEM-1","issue":"4","issued":{"date-parts":[["2024"]]},"page":"252-257","title":"Analisis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Crackers","type":"article-journal","volume":"2"},"uris":["http://www.mendeley.com/documents/?uuid=9d9c1b81-3f53-42d7-807b-6d2e3c8db1bf","http://www.mendeley.com/documents/?uuid=110ae075-1c3b-4817-afc1-9023f4e6505e"]}],"mendeley":{"formattedCitation":"(Hn &amp; Solekah 2024)","manualFormatting":"Hn &amp; Solekah (2024)","plainTextFormattedCitation":"(Hn &amp; Solekah 2024)","previouslyFormattedCitation":"(Hn &amp; Solekah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Pr="009762AE">
        <w:rPr>
          <w:rFonts w:ascii="Adobe Garamond Pro" w:eastAsia="Calibri" w:hAnsi="Adobe Garamond Pro" w:cs="Times New Roman"/>
          <w:noProof/>
          <w:kern w:val="2"/>
          <w14:ligatures w14:val="standardContextual"/>
        </w:rPr>
        <w:t>Hn &amp; Solekah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which identifies efficiency and legality issues in the traditional amplang business obtains a competitive advantage from halal certificates and complete PIRT permits, facilitating market penetration.</w:t>
      </w:r>
    </w:p>
    <w:p w14:paraId="225872C9" w14:textId="38B31B2D" w:rsidR="00BD31BA" w:rsidRPr="009762AE"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This difference is due to the modernization of business management in Amplang Sinar Baru, while many MSMEs are still limited to traditional processing and incomplete licensing. The simple digital marketing strategy that has been used, although not optimal, also opens up wider opportunities than national research which mostly notes conventional marketing constraints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author":[{"dropping-particle":"","family":"Sabahannur","given":"St","non-dropping-particle":"","parse-names":false,"suffix":""},{"dropping-particle":"","family":"Rasyid","given":"Rasmeidah","non-dropping-particle":"","parse-names":false,"suffix":""}],"container-title":"Jurnal Ilmiah Agribisnis","id":"ITEM-1","issue":"1","issued":{"date-parts":[["2023"]]},"title":"Amplang Latber","type":"article-journal","volume":"6"},"uris":["http://www.mendeley.com/documents/?uuid=0a849779-14ce-443d-ab71-2e7b8a4366fa","http://www.mendeley.com/documents/?uuid=fe4cbf50-2e4c-45b3-bb02-b02fc660db82"]},{"id":"ITEM-2","itemData":{"author":[{"dropping-particle":"","family":"Rahmawati","given":"Meylin","non-dropping-particle":"","parse-names":false,"suffix":""},{"dropping-particle":"","family":"Rini Prastiwi","given":"Sulistya","non-dropping-particle":"","parse-names":false,"suffix":""},{"dropping-particle":"","family":"Kartini","given":"","non-dropping-particle":"","parse-names":false,"suffix":""},{"dropping-particle":"","family":"Ima","given":"Rizky Agusriyanti","non-dropping-particle":"","parse-names":false,"suffix":""},{"dropping-particle":"","family":"Putri","given":"Ferica C","non-dropping-particle":"","parse-names":false,"suffix":""},{"dropping-particle":"","family":"Nainggolan","given":"Yohanna Thresia","non-dropping-particle":"","parse-names":false,"suffix":""}],"container-title":"Studi Islam dan Humaniora","id":"ITEM-2","issue":"2","issued":{"date-parts":[["2023"]]},"page":"200-209","title":"Kelayakan Finansial Dan Nilai Tambah Produk Olahan Ikan (Amplang Kuku Macan Al- Izza)","type":"article-journal","volume":"3"},"uris":["http://www.mendeley.com/documents/?uuid=695405bf-0556-4427-b4f8-286102a0b3fa","http://www.mendeley.com/documents/?uuid=3d09a8d3-b39a-4c62-b293-50a4d2ee397d"]}],"mendeley":{"formattedCitation":"(Rahmawati et al. 2023; Sabahannur and Rasyid 2023)","plainTextFormattedCitation":"(Rahmawati et al. 2023; Sabahannur and Rasyid 2023)","previouslyFormattedCitation":"(Rahmawati et al. 2023; Sabahannur and Rasyid 2023)"},"properties":{"noteIndex":0},"schema":"https://github.com/citation-style-language/schema/raw/master/csl-citation.json"}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(Rahmawati et al. 2023; Sabahannur and Rasyid 2023)</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w:t>
      </w:r>
    </w:p>
    <w:p w14:paraId="3638529A" w14:textId="2A0E0203" w:rsidR="00BD31BA" w:rsidRPr="009762AE"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The main difference lies in the level of technology adoption and human resources (HR). Even though Sinar Baru is still on a micro scale, it has started to integrate digital marketing through WhatsApp and Word of Mouth (WOM), in contrast to MSMEs that still rely on traditional methods that have limited reach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{"citationItems":[{"id":"ITEM-1","itemData":{"DOI":"10.54066/jrime-itb.v3i1.2790","ISSN":"2985-623X","abstract":"This research explores digital marketing strategies aimed at enhancing brand awareness in the e-commerce era. With the significant shift towards online shopping, brand awareness has become a critical component for businesses. The study utilizes qualitative methods to gather insights on user experiences and perceptions regarding digital marketing and brand awareness. Findings indicate that effective digital marketing strategies, including social media engagement, influencer collaborations, and data analysis, significantly influence brand visibility and consumer interaction. The implications suggest that businesses must adapt their marketing strategies to leverage digital platforms for improved consumer connections and brand recognition..","author":[{"dropping-particle":"","family":"Rifaldi","given":"Muhammad","non-dropping-particle":"","parse-names":false,"suffix":""},{"dropping-particle":"","family":"Hartati","given":"Sri","non-dropping-particle":"","parse-names":false,"suffix":""},{"dropping-particle":"","family":"Vajriansyah","given":"Muhammad A.","non-dropping-particle":"","parse-names":false,"suffix":""}],"container-title":"Jurnal Riset Manajemen Dan Ekonomi (Jrime)","id":"ITEM-1","issue":"1","issued":{"date-parts":[["2024"]]},"page":"58-65","title":"Strategi Pemasaran Digital untuk Meningkatkan Brand Awareness di Era E-Commerce","type":"article-journal","volume":"3"},"uris":["http://www.mendeley.com/documents/?uuid=22ca3c89-ab1d-4f4a-bcfb-67dafe4ad2da"]}],"mendeley":{"formattedCitation":"(Rifaldi et al. 2024)","plainTextFormattedCitation":"(Rifaldi et al. 2024)","previouslyFormattedCitation":"(Rifaldi et al.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(Rifaldi et al.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w:t>
      </w:r>
    </w:p>
    <w:p w14:paraId="29C59FA9" w14:textId="7DCDBEBC" w:rsidR="00BD31BA" w:rsidRPr="009762AE"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Geographical conditions affect the difference in results, the business location in Samarinda faces the challenge of local competition that is different from large production centers such as Pamekasan or Sumenep, which are already more advanced in terms of distribution and marketing. Variations in production </w:t>
      </w:r>
      <w:r w:rsidRPr="009762AE">
        <w:rPr>
          <w:rFonts w:ascii="Adobe Garamond Pro" w:eastAsia="Calibri" w:hAnsi="Adobe Garamond Pro" w:cs="Times New Roman"/>
          <w:kern w:val="2"/>
          <w14:ligatures w14:val="standardContextual"/>
        </w:rPr>
        <w:lastRenderedPageBreak/>
        <w:t xml:space="preserve">management and resource utilization contribute to differences in cost efficiency and final product quality, as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{"citationItems":[{"id":"ITEM-1","itemData":{"DOI":"10.57216/chlorophyl.v16i2.703","ISSN":"1858-3954","abstract":"This was carried out in Tabanio Village, Takisung District, Tanah Laut Regency. The method used in this research is the case study method in industrial enterprises Mama Helman's mackerel fish amplang household in Tabanio Village, District Takisung, Tanah Laut Regency. The results of this study indicate that the stages making mackerel fish amplang which includes, preparation of tools and materials, weeding, washing, taking meat, pulverizing meat, mixing, forming dough, frying, draining and packaging. The amount of the fee is Rp 44,896,592/month, revenue of IDR 57,600,000/month, income of IDR 13,563,408/month, a profit of IDR 12,703,408/month, an RCR value of 1.3 and The problems faced in making mackerel fish shells are raw materials in the form of mackerel when the weather is bad like the wind is always strong so that the fishermen can not catch fish in the sea this causes the high price of staple raw materials in the form of mackerel","author":[{"dropping-particle":"","family":"Aldi Anjayani","given":"","non-dropping-particle":"","parse-names":false,"suffix":""},{"dropping-particle":"","family":"Ari Jumadi Kirnadi","given":"","non-dropping-particle":"","parse-names":false,"suffix":""},{"dropping-particle":"","family":"Yarna Hasiani","given":"","non-dropping-particle":"","parse-names":false,"suffix":""}],"container-title":"Cholorophyl","id":"ITEM-1","issue":"2","issued":{"date-parts":[["2023"]]},"page":"86-94","title":"Analisis Pendapatan Usaha Industri Rumah Tangga Amplang Ikan Tenggiri (Scomberomorus commerson) Di Desa Tabanio Kecamatan Takisung Kabupaten Tanah Laut (Studi Kasus Amplang Ikan Tenggiri Mama Helman)","type":"article-journal","volume":"16"},"uris":["http://www.mendeley.com/documents/?uuid=4699feb8-61fe-42ab-ac19-2a7b15a4d577","http://www.mendeley.com/documents/?uuid=09837a4f-e9b4-4ddb-856d-c2a1c30e415f"]}],"mendeley":{"formattedCitation":"(Aldi Anjayani, Ari Jumadi Kirnadi, and Yarna Hasiani 2023)","manualFormatting":"Aldi Anjayani et al. (2023)","plainTextFormattedCitation":"(Aldi Anjayani, Ari Jumadi Kirnadi, and Yarna Hasiani 2023)","previouslyFormattedCitation":"(Aldi Anjayani, Ari Jumadi Kirnadi, and Yarna Hasiani 2023)"},"properties":{"noteIndex":0},"schema":"https://github.com/citation-style-language/schema/raw/master/csl-citation.json"}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Pr="009762AE">
        <w:rPr>
          <w:rFonts w:ascii="Adobe Garamond Pro" w:eastAsia="Calibri" w:hAnsi="Adobe Garamond Pro" w:cs="Times New Roman"/>
          <w:noProof/>
          <w:kern w:val="2"/>
          <w14:ligatures w14:val="standardContextual"/>
        </w:rPr>
        <w:t>Aldi Anjayani et al. (2023)</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Find out about the close relationship between efficient production and profitability of the amplang business.</w:t>
      </w:r>
    </w:p>
    <w:p w14:paraId="1D8AD556" w14:textId="10BEB39D" w:rsidR="00BD31BA" w:rsidRPr="009762AE"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Legality has become an important differentiating factor. Many MSMEs face licensing and certification issues, while Amplang Sinar Baru already has halal certificates and PIRT permits, making it better prepared to face the domestic and export markets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{"citationItems":[{"id":"ITEM-1","itemData":{"DOI":"10.30762/welfare.v2i1.807","abstract":"This service activity aims to increase the legality of Kusuma Sari MSME products through assistance in processing distribution permits and halal certification. It is hoped that this assistance can help Kusuma Sari MSMEs located on Jl. Kusuma Nation Hero No. 18A, Kediri City, fulfill halal requirements and strengthen their business development strategy. The method used in this service involves IAIN Kediri students who provide guidance and consultation regarding halal production practices, selection of raw materials, and production processes according to halal standards. Apart from that, assistance also includes developing marketing strategies that emphasize halal certification to increase product attractiveness in local and international markets. The results of this service activity show that Kusuma Sari MSMEs have succeeded in adopting halal production practices that comply with standards, obtaining halal certification, and increasing product legality. As a result, the competitiveness of products in the market increases, and Kusuma Sari MSMEs are able to attract more consumers both locally and internationally.","author":[{"dropping-particle":"","family":"Kusumaningrum","given":"Ine Febri","non-dropping-particle":"","parse-names":false,"suffix":""},{"dropping-particle":"","family":"Zakia","given":"Iqna Faridhatuz","non-dropping-particle":"","parse-names":false,"suffix":""},{"dropping-particle":"","family":"Saadah","given":"Irfaus","non-dropping-particle":"","parse-names":false,"suffix":""},{"dropping-particle":"","family":"Natalia","given":"Jian","non-dropping-particle":"","parse-names":false,"suffix":""},{"dropping-particle":"","family":"Putra","given":"Jonathan Rizki Eka","non-dropping-particle":"","parse-names":false,"suffix":""},{"dropping-particle":"","family":"Mauludin","given":"M. Soleh","non-dropping-particle":"","parse-names":false,"suffix":""}],"container-title":"Welfare : Jurnal Pengabdian Masyarakat","id":"ITEM-1","issue":"1","issued":{"date-parts":[["2024"]]},"page":"176-182","title":"Meningkatkan Legalitas Produk Melalui Pendampingan untuk Pengurusan Ijin Edar dan Sertifikasi Halal pada UMKM Kusuma Sari","type":"article-journal","volume":"2"},"uris":["http://www.mendeley.com/documents/?uuid=eaaaca01-611a-410d-ba72-795c7ac200d4","http://www.mendeley.com/documents/?uuid=50f29383-36d8-4c58-95a2-c8e22e7e6668"]}],"mendeley":{"formattedCitation":"(Kusumaningrum et al. 2024)","plainTextFormattedCitation":"(Kusumaningrum et al. 2024)","previouslyFormattedCitation":"(Kusumaningrum et al.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(Kusumaningrum et al.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This factor affects consumer confidence and access to a wider market segment.</w:t>
      </w:r>
    </w:p>
    <w:p w14:paraId="72270DE5" w14:textId="5FCEA768" w:rsidR="00BD31BA"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External factors such as increasing consumer awareness of halal products and marketing digitalization in the post-pandemic era strengthen the success of more adaptive and modern businesses in managing them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{"citationItems":[{"id":"ITEM-1","itemData":{"author":[{"dropping-particle":"","family":"Nurul Beauty","given":"Shafera","non-dropping-particle":"","parse-names":false,"suffix":""},{"dropping-particle":"","family":"Ema","given":"Pusvita","non-dropping-particle":"","parse-names":false,"suffix":""},{"dropping-particle":"","family":"Septianita","given":"Septianita","non-dropping-particle":"","parse-names":false,"suffix":""},{"dropping-particle":"","family":"SP","given":"M Si","non-dropping-particle":"","parse-names":false,"suffix":""}],"container-title":"Doctoral dissertation, Universitas Baturaja","id":"ITEM-1","issued":{"date-parts":[["2023"]]},"publisher":"Universitas Baturaja","title":"Pengaruh Wisata Alam Pulau Keban Agung Terhadap Perekonomian Di Kecamatan Semidang Aji Kabupaten Oku","type":"article-journal"},"uris":["http://www.mendeley.com/documents/?uuid=e326fbfc-e563-40d3-9fa8-21bc73405873","http://www.mendeley.com/documents/?uuid=a79b26eb-0f4f-4c91-8225-90dc3d1366ce"]}],"mendeley":{"formattedCitation":"(Nurul Beauty et al. 2023)","plainTextFormattedCitation":"(Nurul Beauty et al. 2023)","previouslyFormattedCitation":"(Nurul Beauty et al. 2023)"},"properties":{"noteIndex":0},"schema":"https://github.com/citation-style-language/schema/raw/master/csl-citation.json"}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(Nurul Beauty et al. 2023)</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This difference shows that internal innovation and response to market trends greatly determine the performance of the amplang business.</w:t>
      </w:r>
    </w:p>
    <w:p w14:paraId="15F92231" w14:textId="77777777" w:rsidR="00C40B61" w:rsidRPr="009762AE" w:rsidRDefault="00C40B61" w:rsidP="009762AE">
      <w:pPr>
        <w:spacing w:after="0" w:line="360" w:lineRule="auto"/>
        <w:jc w:val="both"/>
        <w:rPr>
          <w:rFonts w:ascii="Adobe Garamond Pro" w:eastAsia="Calibri" w:hAnsi="Adobe Garamond Pro" w:cs="Times New Roman"/>
          <w:kern w:val="2"/>
          <w14:ligatures w14:val="standardContextual"/>
        </w:rPr>
      </w:pPr>
    </w:p>
    <w:p w14:paraId="5F4CF93C" w14:textId="77777777" w:rsidR="00BD31BA" w:rsidRPr="009762AE" w:rsidRDefault="00BD31BA" w:rsidP="009762AE">
      <w:pPr>
        <w:spacing w:after="0" w:line="360" w:lineRule="auto"/>
        <w:jc w:val="both"/>
        <w:rPr>
          <w:rFonts w:ascii="Adobe Garamond Pro" w:eastAsia="Calibri" w:hAnsi="Adobe Garamond Pro" w:cs="Times New Roman"/>
          <w:b/>
          <w:bCs/>
          <w:kern w:val="2"/>
          <w14:ligatures w14:val="standardContextual"/>
        </w:rPr>
      </w:pPr>
      <w:r w:rsidRPr="009762AE">
        <w:rPr>
          <w:rFonts w:ascii="Adobe Garamond Pro" w:eastAsia="Calibri" w:hAnsi="Adobe Garamond Pro" w:cs="Times New Roman"/>
          <w:b/>
          <w:bCs/>
          <w:kern w:val="2"/>
          <w14:ligatures w14:val="standardContextual"/>
        </w:rPr>
        <w:t>Practical Implications</w:t>
      </w:r>
    </w:p>
    <w:p w14:paraId="27025421" w14:textId="6F480DF6" w:rsidR="00BD31BA" w:rsidRPr="009762AE" w:rsidRDefault="00BD31BA" w:rsidP="009762AE">
      <w:pPr>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The results of this research show that amplang business management that is integrated between raw material quality, taste consistency, and digital marketing, even though it is simple, can strengthen market position and customer loyalty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{"citationItems":[{"id":"ITEM-1","itemData":{"DOI":"10.20961/semar.v11i1.57610","ISSN":"2302-3937","abstract":"&lt;p&gt;Perkembangan Usaha Mikro Kecil dan Menengah (UMKM) menjadi stagnan di masa pandemi Covid-19. Banyak sekali UMKM mengalami penurunan penjualan dan tidak bisa berkembang bahkan hampir mengalami kebangkrutan. Kondisi tersebut membuat para pelaku UMKM harus berfikir untuk bisa tetap bertahan demi kelangsungan usahanya. Di masa pandemi Covid-19 banyak konsumen mengurangi interaksi di luar rumah dengan menjaga jarak guna memutus rantai penyebaran virus Covid-19. Pelaku UMKM dapat melanjutkan usahanya dengan tetap memenuhi kebutuhan konsumen di masa pandemi dengan mengalihkan pembelian secara online. Beralihnya pembelian secara offline menjadi online (digital), akan mempermudah pelaku UMKM dalam memperluas akses pemasaran. Peran teknologi digital memiliki pengaruh yang signifikan terhadap UMKM. Paradigma teknologi yang muncul memanfaatkan potensi UMKM yang lebih kuat serta berkelanjutan. Social media dan E-commerce dapat menjadi wadah penjualan pelaku UMKM. Diketahui bahwa pelaku UMKM belum mengikuti perkembangan digital secara maksimal, terutama karena kurangnya pengetahuan tentang digital marketing. Tujuan program pemberdayaan masyarakat pada UMKM di Kelurahan Plamongansari yaitu untuk memberikan pendampingan pelatihan digital marketing sebagai upaya pengembangan dan perluasan jaringan pemasaran berbasis teknologi (digital). Setelah melakukan pengabdian ini, diharapkan pelaku UMKM di Kelurahan Plamongansari akan terus bersinergi demi keberlangsungan UMKM dan pengembangan ekonomi masyarakat.&lt;/p&gt;","author":[{"dropping-particle":"","family":"Arumsari","given":"Nurul Rizka","non-dropping-particle":"","parse-names":false,"suffix":""},{"dropping-particle":"","family":"Lailyah","given":"Nurzahroh","non-dropping-particle":"","parse-names":false,"suffix":""},{"dropping-particle":"","family":"Rahayu","given":"Tina","non-dropping-particle":"","parse-names":false,"suffix":""}],"container-title":"SEMAR (Jurnal Ilmu Pengetahuan, Teknologi, dan Seni bagi Masyarakat)","id":"ITEM-1","issue":"1","issued":{"date-parts":[["2022"]]},"page":"92","title":"Peran Digital Marketing dalam Upaya Pengembangan UMKM Berbasis Teknologi di Kelurahan Plamongansari Semarang","type":"article-journal","volume":"11"},"uris":["http://www.mendeley.com/documents/?uuid=c4e537ed-55ac-489d-9b80-82858cb0c180"]}],"mendeley":{"formattedCitation":"(Arumsari et al. 2022)","plainTextFormattedCitation":"(Arumsari et al. 2022)","previouslyFormattedCitation":"(Arumsari et al. 2022)"},"properties":{"noteIndex":0},"schema":"https://github.com/citation-style-language/schema/raw/master/csl-citation.json"}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(Arumsari et al. 2022)</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The promotional methods through WhatsApp and WOM that are currently used need to be continued and developed with more structured digital marketing such as e-commerce and the use of influencers to expand sales networks, including export opportunities.</w:t>
      </w:r>
    </w:p>
    <w:p w14:paraId="1F624DF5" w14:textId="3CD550BB" w:rsidR="00BD31BA" w:rsidRPr="009762AE"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The update of production equipment and the implementation of Standard Operating Procedures (SOPs) are very important to increase production efficiency and capacity to meet greater demand. HR (Human Resources) training, especially in the field of digital marketing and production management, has great potential to increase competitiveness and long-term business sustainability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{"citationItems":[{"id":"ITEM-1","itemData":{"DOI":"10.54066/jrime-itb.v3i1.2790","ISSN":"2985-623X","abstract":"This research explores digital marketing strategies aimed at enhancing brand awareness in the e-commerce era. With the significant shift towards online shopping, brand awareness has become a critical component for businesses. The study utilizes qualitative methods to gather insights on user experiences and perceptions regarding digital marketing and brand awareness. Findings indicate that effective digital marketing strategies, including social media engagement, influencer collaborations, and data analysis, significantly influence brand visibility and consumer interaction. The implications suggest that businesses must adapt their marketing strategies to leverage digital platforms for improved consumer connections and brand recognition..","author":[{"dropping-particle":"","family":"Rifaldi","given":"Muhammad","non-dropping-particle":"","parse-names":false,"suffix":""},{"dropping-particle":"","family":"Hartati","given":"Sri","non-dropping-particle":"","parse-names":false,"suffix":""},{"dropping-particle":"","family":"Vajriansyah","given":"Muhammad A.","non-dropping-particle":"","parse-names":false,"suffix":""}],"container-title":"Jurnal Riset Manajemen Dan Ekonomi (Jrime)","id":"ITEM-1","issue":"1","issued":{"date-parts":[["2024"]]},"page":"58-65","title":"Strategi Pemasaran Digital untuk Meningkatkan Brand Awareness di Era E-Commerce","type":"article-journal","volume":"3"},"uris":["http://www.mendeley.com/documents/?uuid=22ca3c89-ab1d-4f4a-bcfb-67dafe4ad2da"]}],"mendeley":{"formattedCitation":"(Rifaldi et al. 2024)","plainTextFormattedCitation":"(Rifaldi et al. 2024)","previouslyFormattedCitation":"(Rifaldi et al.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(Rifaldi et al.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w:t>
      </w:r>
    </w:p>
    <w:p w14:paraId="19556CEC" w14:textId="11A16A60" w:rsidR="00BD31BA"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Cooperation with raw material suppliers and technical assistance must be strengthened to ensure the stability of supply and quality of raw materials. Packaging standardization also plays a role in increasing the selling value of products in national and global markets. In addition, transparent and regular financial management will strengthen the business foundation and increase investment opportunities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{"citationItems":[{"id":"ITEM-1","itemData":{"abstract":"Pelatihan pada kegiatan ini memili tujuan untuk menambah pengetahuan ibu-ibu desa Margo Mulyo Penajam Paser Utara (PPU) dengan memanfaatkan usaha yang dimiliki agar …","author":[{"dropping-particle":"","family":"Ariani","given":"Misna","non-dropping-particle":"","parse-names":false,"suffix":""},{"dropping-particle":"","family":"Hadiyatno","given":"Didik","non-dropping-particle":"","parse-names":false,"suffix":""},{"dropping-particle":"","family":"Yuliani","given":"Tutik","non-dropping-particle":"","parse-names":false,"suffix":""},{"dropping-particle":"","family":"Tamara","given":"Dwinda","non-dropping-particle":"","parse-names":false,"suffix":""}],"container-title":"Jurnal Abdi Masyarakat Ilmu Ekonomi","id":"ITEM-1","issue":"2","issued":{"date-parts":[["2023"]]},"page":"48-54","title":"Ikan Bandeng Di Desa Argo Mulyo Kecamatan Sepaku Kabupaten Penajam Paser Utara ( Ppu )","type":"article-journal","volume":"5"},"uris":["http://www.mendeley.com/documents/?uuid=3c2d2f17-753d-4dd5-b7e3-76a816f3ab2b","http://www.mendeley.com/documents/?uuid=258a493f-62b7-43ca-a775-87f906745f98"]}],"mendeley":{"formattedCitation":"(Ariani et al. 2023)","plainTextFormattedCitation":"(Ariani et al. 2023)","previouslyFormattedCitation":"(Ariani et al. 2023)"},"properties":{"noteIndex":0},"schema":"https://github.com/citation-style-language/schema/raw/master/csl-citation.json"}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(Ariani et al. 2023)</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The application of digital technology adapted to the scale of the business can increase the effectiveness of marketing and business administration, while facilitating real-time performance monitoring as a capital for continuous improvement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{"citationItems":[{"id":"ITEM-1","itemData":{"author":[{"dropping-particle":"","family":"Lorenzo","given":"Hannah","non-dropping-particle":"","parse-names":false,"suffix":""}],"container-title":"Maliki Journal of Innovation and Entrepreneurship","id":"ITEM-1","issued":{"date-parts":[["2024"]]},"title":"Mapping Asian And Asian-American Community Formations In Hartford Through Culturally-Related Businesses","type":"article-journal"},"uris":["http://www.mendeley.com/documents/?uuid=685cea70-fbed-4ac3-9895-dbb9b1289740","http://www.mendeley.com/documents/?uuid=e9c66584-4c44-4db5-9198-2359cc6762ca"]}],"mendeley":{"formattedCitation":"(Lorenzo 2024)","plainTextFormattedCitation":"(Lorenzo 2024)","previouslyFormattedCitation":"(Lorenzo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(Lorenzo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w:t>
      </w:r>
    </w:p>
    <w:p w14:paraId="787A9DAB" w14:textId="77777777" w:rsidR="00C40B61" w:rsidRPr="009762AE" w:rsidRDefault="00C40B61" w:rsidP="009762AE">
      <w:pPr>
        <w:spacing w:after="0" w:line="360" w:lineRule="auto"/>
        <w:jc w:val="both"/>
        <w:rPr>
          <w:rFonts w:ascii="Adobe Garamond Pro" w:eastAsia="Calibri" w:hAnsi="Adobe Garamond Pro" w:cs="Times New Roman"/>
          <w:kern w:val="2"/>
          <w14:ligatures w14:val="standardContextual"/>
        </w:rPr>
      </w:pPr>
    </w:p>
    <w:p w14:paraId="7D40670F" w14:textId="77777777" w:rsidR="00BD31BA" w:rsidRPr="009762AE" w:rsidRDefault="00BD31BA" w:rsidP="009762AE">
      <w:pPr>
        <w:spacing w:after="0" w:line="360" w:lineRule="auto"/>
        <w:jc w:val="both"/>
        <w:rPr>
          <w:rFonts w:ascii="Adobe Garamond Pro" w:eastAsia="Calibri" w:hAnsi="Adobe Garamond Pro" w:cs="Times New Roman"/>
          <w:b/>
          <w:bCs/>
          <w:kern w:val="2"/>
          <w14:ligatures w14:val="standardContextual"/>
        </w:rPr>
      </w:pPr>
      <w:r w:rsidRPr="009762AE">
        <w:rPr>
          <w:rFonts w:ascii="Adobe Garamond Pro" w:eastAsia="Calibri" w:hAnsi="Adobe Garamond Pro" w:cs="Times New Roman"/>
          <w:b/>
          <w:bCs/>
          <w:kern w:val="2"/>
          <w14:ligatures w14:val="standardContextual"/>
        </w:rPr>
        <w:t>Policy Implications</w:t>
      </w:r>
    </w:p>
    <w:p w14:paraId="2ABE95AC" w14:textId="512A957A" w:rsidR="00BD31BA" w:rsidRPr="009762AE" w:rsidRDefault="00BD31BA" w:rsidP="009762AE">
      <w:pPr>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The existence of Amplang Sinar Baru, which is fully licensed, illustrates the importance of government policy support, especially in facilitating halal certification and PIRT as an added value for micro and small businesses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{"citationItems":[{"id":"ITEM-1","itemData":{"DOI":"10.21608/pshj.2022.250026","abstract":"Penelitian ini dilakukan di objek wisata kuliner tepian Danau Ranau Kabupaten Ogan Komering Ulu Selatan. Tujuan dalam penelitian ini adalah menganalisis kelayakan finansial kuliner agrowisata menggunakan perhitungan Net Present Value (NPV), Metode Annual Equivalent (AE), Metode Internal Rate of Return (IRR), Metode Benefit Cost Ratio (BCR) dan Metode Payback Period (PBP).","author":[{"dropping-particle":"","family":"Pusvita","given":"L. Andrean; Putri Ayu Ogari; Ema","non-dropping-particle":"","parse-names":false,"suffix":""}],"container-title":"Jurnal Ilmiah Mahasiswa AGROINFO GALUH","id":"ITEM-1","issue":"1","issued":{"date-parts":[["2024"]]},"page":"998-1009","title":"Analisis Kelayakan Finansial Kuliner Agrowisata Tepian Danau Ranau Kabupaten Ogan Komering Ulu Selatan","type":"article-journal","volume":"11"},"uris":["http://www.mendeley.com/documents/?uuid=d4161ffa-3e9b-46b0-a0e9-ece1d2bc5294","http://www.mendeley.com/documents/?uuid=1d7f74e1-6411-4789-a208-6b9bd3d9ff59"]}],"mendeley":{"formattedCitation":"(Pusvita 2024)","plainTextFormattedCitation":"(Pusvita 2024)","previouslyFormattedCitation":"(Pusvita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(Pusvita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The government needs to provide access to digital marketing training and funding for the development of production equipment so that small businesses can adapt optimally to the modern market.</w:t>
      </w:r>
    </w:p>
    <w:p w14:paraId="6C80BEA0" w14:textId="673E1CB7" w:rsidR="00BD31BA" w:rsidRPr="009762AE"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lastRenderedPageBreak/>
        <w:t xml:space="preserve"> that encourage environmentally friendly waste management in accordance with the ISO 14001 lite standard must be implemented immediately to ensure environmental sustainability while supporting the sustainability of long-term oriented businesses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{"citationItems":[{"id":"ITEM-1","itemData":{"ISBN":"2005031100","author":[{"dropping-particle":"","family":"Hn &amp; Solekah","given":"Lailatus Syarifah; Aslamatis; Nihayatu;","non-dropping-particle":"","parse-names":false,"suffix":""}],"container-title":"Maliki Interdisciplinary Journal (MIJ) eISSN","id":"ITEM-1","issue":"4","issued":{"date-parts":[["2024"]]},"page":"252-257","title":"Analisis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Crackers","type":"article-journal","volume":"2"},"uris":["http://www.mendeley.com/documents/?uuid=9d9c1b81-3f53-42d7-807b-6d2e3c8db1bf","http://www.mendeley.com/documents/?uuid=110ae075-1c3b-4817-afc1-9023f4e6505e"]}],"mendeley":{"formattedCitation":"(Hn &amp; Solekah 2024)","plainTextFormattedCitation":"(Hn &amp; Solekah 2024)","previouslyFormattedCitation":"(Hn &amp; Solekah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(Hn &amp; Solekah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Incentives for MSMEs that carry out responsible environmental management can be an additional motivation.</w:t>
      </w:r>
    </w:p>
    <w:p w14:paraId="221DE37B" w14:textId="12FF9D30" w:rsidR="00BD31BA" w:rsidRDefault="00BD31BA" w:rsidP="002544F2">
      <w:pPr>
        <w:spacing w:after="0" w:line="360" w:lineRule="auto"/>
        <w:ind w:firstLine="720"/>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The policy of strengthening the collaboration network between MSMEs and strategic raw material suppliers will increase price stability and supply availability, which has a direct effect on production efficiency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{"citationItems":[{"id":"ITEM-1","itemData":{"ISBN":"2005031100","author":[{"dropping-particle":"","family":"Hn &amp; Solekah","given":"Lailatus Syarifah; Aslamatis; Nihayatu;","non-dropping-particle":"","parse-names":false,"suffix":""}],"container-title":"Maliki Interdisciplinary Journal (MIJ) eISSN","id":"ITEM-1","issue":"4","issued":{"date-parts":[["2024"]]},"page":"252-257","title":"Analisis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Crackers","type":"article-journal","volume":"2"},"uris":["http://www.mendeley.com/documents/?uuid=9d9c1b81-3f53-42d7-807b-6d2e3c8db1bf","http://www.mendeley.com/documents/?uuid=110ae075-1c3b-4817-afc1-9023f4e6505e"]}],"mendeley":{"formattedCitation":"(Hn &amp; Solekah 2024)","plainTextFormattedCitation":"(Hn &amp; Solekah 2024)","previouslyFormattedCitation":"(Hn &amp; Solekah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(Hn &amp; Solekah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Legal assistance for trademark protection is absolutely necessary so that MSMEs avoid counterfeiting practices and unfair competition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{"citationItems":[{"id":"ITEM-1","itemData":{"DOI":"10.33506/jurnaljustisi.v9i3.2472","ISSN":"1979-7532","abstract":"Pendaftaran merek dagang yang menjadi salah satu ciri khas UMKM seringkali diabaikan oleh para pelaku usahanya. Terjadinya peningkatan pendaftaran merek dagang masih tidak sebanding dengan jumlah UMKM yang ada. Tujuan penelitian ini untuk mengetahui kedudukan sertifikat merek bagi perlindungan badan Usaha Mikro Kecil dan Menengah sehingga mendukung perlunya bagi setiap pelaku Usaha Mikro Kecil dan Menengah segera mendaftarkan merek dagangnya agar memperoleh perlindungan berdasarkan Undang-Undang yang berlaku. Penelitian ini menggunakan jenis penelitian yuridis empiris dengan meneliti bahan hukum sekunder yang didukung dengan hasil wawancara serta pendekatan perundang-undangan. Kedudukan sertifikat merek penting adanya untuk memberikan perlindungan hukum atas merek dagang pelaku UMKM yang sudah terdaftar. Pemerintah melakukan berbagai upaya untuk terus mendorong pelaku UMKM dalam hal mendaftarkan merek dagangnya seperti mengadakan program pendaftaran merek secara gratis hingga memberikan biaya pendaftaran yang lebih murah bagi UMKM.","author":[{"dropping-particle":"","family":"Pertiwi","given":"Dian Eka","non-dropping-particle":"","parse-names":false,"suffix":""},{"dropping-particle":"","family":"Tarina","given":"Dwi Desi Yayi","non-dropping-particle":"","parse-names":false,"suffix":""}],"container-title":"Justisi","id":"ITEM-1","issue":"3","issued":{"date-parts":[["2023"]]},"page":"266-278","title":"Kedudukan Sertifikat Merek Bagi Perlindungan Badan Usaha Mikro Kecil Dan Menengah","type":"article-journal","volume":"9"},"uris":["http://www.mendeley.com/documents/?uuid=9fd6f39e-8ec5-4ac4-9612-7af40fd455e6","http://www.mendeley.com/documents/?uuid=519f184b-bfd0-41c5-a87c-bd1c45e2da4a"]}],"mendeley":{"formattedCitation":"(Pertiwi and Tarina 2023)","plainTextFormattedCitation":"(Pertiwi and Tarina 2023)","previouslyFormattedCitation":"(Pertiwi and Tarina 2023)"},"properties":{"noteIndex":0},"schema":"https://github.com/citation-style-language/schema/raw/master/csl-citation.json"}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(Pertiwi and Tarina 2023)</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Policies that make it easier for business actors to access the market through digital platforms and marketplaces can open up greater business opportunities, especially for local products such as amplang that already have halal certificates and international quality standards.</w:t>
      </w:r>
    </w:p>
    <w:p w14:paraId="733DFBD9" w14:textId="77777777" w:rsidR="00C40B61" w:rsidRPr="009762AE" w:rsidRDefault="00C40B61" w:rsidP="009762AE">
      <w:pPr>
        <w:spacing w:after="0" w:line="360" w:lineRule="auto"/>
        <w:jc w:val="both"/>
        <w:rPr>
          <w:rFonts w:ascii="Adobe Garamond Pro" w:eastAsia="Calibri" w:hAnsi="Adobe Garamond Pro" w:cs="Times New Roman"/>
          <w:kern w:val="2"/>
          <w14:ligatures w14:val="standardContextual"/>
        </w:rPr>
      </w:pPr>
    </w:p>
    <w:p w14:paraId="6FACBA20" w14:textId="77777777" w:rsidR="00BD31BA" w:rsidRPr="009762AE" w:rsidRDefault="00BD31BA" w:rsidP="009762AE">
      <w:pPr>
        <w:spacing w:after="0" w:line="360" w:lineRule="auto"/>
        <w:jc w:val="both"/>
        <w:rPr>
          <w:rFonts w:ascii="Adobe Garamond Pro" w:eastAsia="Calibri" w:hAnsi="Adobe Garamond Pro" w:cs="Times New Roman"/>
          <w:b/>
          <w:bCs/>
          <w:kern w:val="2"/>
          <w14:ligatures w14:val="standardContextual"/>
        </w:rPr>
      </w:pPr>
      <w:r w:rsidRPr="009762AE">
        <w:rPr>
          <w:rFonts w:ascii="Adobe Garamond Pro" w:eastAsia="Calibri" w:hAnsi="Adobe Garamond Pro" w:cs="Times New Roman"/>
          <w:b/>
          <w:bCs/>
          <w:kern w:val="2"/>
          <w14:ligatures w14:val="standardContextual"/>
        </w:rPr>
        <w:t>Research Limitations</w:t>
      </w:r>
    </w:p>
    <w:p w14:paraId="506D52AA" w14:textId="2BF3A3A0" w:rsidR="00BD31BA" w:rsidRDefault="00BD31BA" w:rsidP="009762AE">
      <w:pPr>
        <w:spacing w:after="0"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This research has several limitations, small scale businesses with simple digital marketing capabilities make the potential of online sales and exports not fully utilized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{"citationItems":[{"id":"ITEM-1","itemData":{"DOI":"10.30762/welfare.v2i1.807","abstract":"This service activity aims to increase the legality of Kusuma Sari MSME products through assistance in processing distribution permits and halal certification. It is hoped that this assistance can help Kusuma Sari MSMEs located on Jl. Kusuma Nation Hero No. 18A, Kediri City, fulfill halal requirements and strengthen their business development strategy. The method used in this service involves IAIN Kediri students who provide guidance and consultation regarding halal production practices, selection of raw materials, and production processes according to halal standards. Apart from that, assistance also includes developing marketing strategies that emphasize halal certification to increase product attractiveness in local and international markets. The results of this service activity show that Kusuma Sari MSMEs have succeeded in adopting halal production practices that comply with standards, obtaining halal certification, and increasing product legality. As a result, the competitiveness of products in the market increases, and Kusuma Sari MSMEs are able to attract more consumers both locally and internationally.","author":[{"dropping-particle":"","family":"Kusumaningrum","given":"Ine Febri","non-dropping-particle":"","parse-names":false,"suffix":""},{"dropping-particle":"","family":"Zakia","given":"Iqna Faridhatuz","non-dropping-particle":"","parse-names":false,"suffix":""},{"dropping-particle":"","family":"Saadah","given":"Irfaus","non-dropping-particle":"","parse-names":false,"suffix":""},{"dropping-particle":"","family":"Natalia","given":"Jian","non-dropping-particle":"","parse-names":false,"suffix":""},{"dropping-particle":"","family":"Putra","given":"Jonathan Rizki Eka","non-dropping-particle":"","parse-names":false,"suffix":""},{"dropping-particle":"","family":"Mauludin","given":"M. Soleh","non-dropping-particle":"","parse-names":false,"suffix":""}],"container-title":"Welfare : Jurnal Pengabdian Masyarakat","id":"ITEM-1","issue":"1","issued":{"date-parts":[["2024"]]},"page":"176-182","title":"Meningkatkan Legalitas Produk Melalui Pendampingan untuk Pengurusan Ijin Edar dan Sertifikasi Halal pada UMKM Kusuma Sari","type":"article-journal","volume":"2"},"uris":["http://www.mendeley.com/documents/?uuid=50f29383-36d8-4c58-95a2-c8e22e7e6668","http://www.mendeley.com/documents/?uuid=eaaaca01-611a-410d-ba72-795c7ac200d4"]}],"mendeley":{"formattedCitation":"(Kusumaningrum et al. 2024)","plainTextFormattedCitation":"(Kusumaningrum et al. 2024)","previouslyFormattedCitation":"(Kusumaningrum et al.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(Kusumaningrum et al.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The financial data used is still based on estimates and has not been officially audited, so the results of the analysis may be less accurate. This research was also only conducted in Samarinda, so the results cannot be representative of conditions in other areas. In addition, human resource factors, business management methods, and competitor analysis have not been discussed in depth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{"citationItems":[{"id":"ITEM-1","itemData":{"abstract":"Micro, Small and Medium Enterprises (MSMEs) are productive business units that stand alone, which are carried out by individuals or business entities in all economic sectors. The existence of Micro, Small and Medium Enterprises (MSMEs), which is the largest part of the national economy, is an indicator of the level of community participation in various sectors of economic activity. The purpose of this study was to determine and analyze the simultaneous and partial effects of business capital, labor, and use of e-commerce variables on Culinary MSME income in Denpasar City. This study used the accidental proportional sampling method with a sample of 99 MSME actors in the culinary field in Denpasar City. The data analysis technique used is multiple linear regression analysis. The results of data processing and simultaneous testing show that capital, labor, and the use of e-commerce have a significant effect on the income of MSMEs in the culinary field in Denpasar City. The results of data processing also show that the variables of business capital and labor partially have a positive and significant effect on the income of culinary MSMEs in Denpasar City. MSMEs in the culinary field in Denpasar City who use e-commerce earn higher incomes compared to those who do not use e-commerce.","author":[{"dropping-particle":"","family":"Arniyasa","given":"Putu Yasti Putri","non-dropping-particle":"","parse-names":false,"suffix":""},{"dropping-particle":"","family":"Karmini","given":"Ni Luh","non-dropping-particle":"","parse-names":false,"suffix":""}],"container-title":"Public Service And Governance Journal","id":"ITEM-1","issue":"2","issued":{"date-parts":[["2023"]]},"page":"139-149","title":"Pengaruh Modal Usaha, Tenaga Kerja, dan Penggunaan E-commerce Terhadap Pendapatan UMKM Bidang Kuliner di Kota Denpasar","type":"article-journal","volume":"4"},"uris":["http://www.mendeley.com/documents/?uuid=b79661b6-0382-4f42-ab5f-f520264c01c8","http://www.mendeley.com/documents/?uuid=40a213e3-1aed-4270-91d6-6f7bde33dd89"]},{"id":"ITEM-2","itemData":{"DOI":"10.31603/ce.13099","ISSN":"2614-4964","abstract":"This community service activity aims to enhance the effectiveness of digital marketing for retail Micro, Small, and Medium Enterprises (MSMEs), specifically Pasundan Gorden, through the integration of e-commerce and social media. The activities encompassed the design of a user-friendly e-commerce website, the development of focused social media campaigns, and the evaluation of their impact on business performance. Implementation methods included identifying participant needs, preparing training materials, conducting interactive workshops, and post-training evaluation. Results demonstrated a significant improvement in participants' understanding and skills in digital marketing, with average scores increasing from 60 to 85. Furthermore, a responsive website and focused social media campaigns were created, leading to increased consumer engagement, brand awareness, and sales. Dissemination of information on content marketing, SEO, and augmented reality is recommended to enhance customer loyalty. Thus, this activity serves as a model for other MSMEs to improve digital competitiveness through planned strategy implementation and continuous evaluation.","author":[{"dropping-particle":"","family":"Surahman","given":"Surahman","non-dropping-particle":"","parse-names":false,"suffix":""},{"dropping-particle":"","family":"Hariyadi","given":"Sugeng","non-dropping-particle":"","parse-names":false,"suffix":""},{"dropping-particle":"","family":"Barus","given":"Bela","non-dropping-particle":"","parse-names":false,"suffix":""},{"dropping-particle":"","family":"Batoteng","given":"Hendrik","non-dropping-particle":"","parse-names":false,"suffix":""},{"dropping-particle":"","family":"Rahmadhani","given":"Adestya","non-dropping-particle":"","parse-names":false,"suffix":""},{"dropping-particle":"","family":"Aisyayah","given":"Wulan Nur","non-dropping-particle":"","parse-names":false,"suffix":""},{"dropping-particle":"","family":"Pustpita","given":"Aulia Oktaviani","non-dropping-particle":"","parse-names":false,"suffix":""},{"dropping-particle":"","family":"Febrianti","given":"Nadya","non-dropping-particle":"","parse-names":false,"suffix":""}],"container-title":"Community Empowerment","id":"ITEM-2","issue":"6","issued":{"date-parts":[["2025"]]},"page":"1349-1357","title":"Digital transformation for MSMEs: Boosting sales through e-commerce and social media","type":"article-journal","volume":"10"},"uris":["http://www.mendeley.com/documents/?uuid=5bdf309e-f44d-4ba7-b38b-56527c796672","http://www.mendeley.com/documents/?uuid=86ea77d9-bc84-462e-8ff2-01cbeaffa7b8"]}],"mendeley":{"formattedCitation":"(Arniyasa and Karmini 2023; Surahman et al. 2025)","plainTextFormattedCitation":"(Arniyasa and Karmini 2023; Surahman et al. 2025)","previouslyFormattedCitation":"(Arniyasa and Karmini 2023; Surahman et al. 2025)"},"properties":{"noteIndex":0},"schema":"https://github.com/citation-style-language/schema/raw/master/csl-citation.json"}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(Arniyasa and Karmini 2023; Surahman et al. 2025)</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Brand protection and production waste management are also still limited and not in accordance with environmentally friendly standards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{"citationItems":[{"id":"ITEM-1","itemData":{"DOI":"10.21608/pshj.2022.250026","abstract":"Penelitian ini dilakukan di objek wisata kuliner tepian Danau Ranau Kabupaten Ogan Komering Ulu Selatan. Tujuan dalam penelitian ini adalah menganalisis kelayakan finansial kuliner agrowisata menggunakan perhitungan Net Present Value (NPV), Metode Annual Equivalent (AE), Metode Internal Rate of Return (IRR), Metode Benefit Cost Ratio (BCR) dan Metode Payback Period (PBP).","author":[{"dropping-particle":"","family":"Pusvita","given":"L. Andrean; Putri Ayu Ogari; Ema","non-dropping-particle":"","parse-names":false,"suffix":""}],"container-title":"Jurnal Ilmiah Mahasiswa AGROINFO GALUH","id":"ITEM-1","issue":"1","issued":{"date-parts":[["2024"]]},"page":"998-1009","title":"Analisis Kelayakan Finansial Kuliner Agrowisata Tepian Danau Ranau Kabupaten Ogan Komering Ulu Selatan","type":"article-journal","volume":"11"},"uris":["http://www.mendeley.com/documents/?uuid=d4161ffa-3e9b-46b0-a0e9-ece1d2bc5294","http://www.mendeley.com/documents/?uuid=1d7f74e1-6411-4789-a208-6b9bd3d9ff59"]},{"id":"ITEM-2","itemData":{"ISBN":"2005031100","author":[{"dropping-particle":"","family":"Hn &amp; Solekah","given":"Lailatus Syarifah; Aslamatis; Nihayatu;","non-dropping-particle":"","parse-names":false,"suffix":""}],"container-title":"Maliki Interdisciplinary Journal (MIJ) eISSN","id":"ITEM-2","issue":"4","issued":{"date-parts":[["2024"]]},"page":"252-257","title":"Analisis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http://www.mendeley.com/documents/?uuid=88c7c57a-ce32-4534-92a8-998452921597"]}],"mendeley":{"formattedCitation":"(Hn &amp; Solekah 2024; Pusvita 2024)","plainTextFormattedCitation":"(Hn &amp; Solekah 2024; Pusvita 2024)","previouslyFormattedCitation":"(Hn &amp; Solekah 2024; Pusvita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(Hn &amp; Solekah 2024; Pusvita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w:t>
      </w:r>
    </w:p>
    <w:p w14:paraId="3CD90B44" w14:textId="77777777" w:rsidR="00C40B61" w:rsidRPr="009762AE" w:rsidRDefault="00C40B61" w:rsidP="009762AE">
      <w:pPr>
        <w:spacing w:after="0" w:line="360" w:lineRule="auto"/>
        <w:jc w:val="both"/>
        <w:rPr>
          <w:rFonts w:ascii="Adobe Garamond Pro" w:eastAsia="Calibri" w:hAnsi="Adobe Garamond Pro" w:cs="Times New Roman"/>
          <w:kern w:val="2"/>
          <w14:ligatures w14:val="standardContextual"/>
        </w:rPr>
      </w:pPr>
    </w:p>
    <w:p w14:paraId="0D09131C" w14:textId="77777777" w:rsidR="00BD31BA" w:rsidRPr="009762AE" w:rsidRDefault="00BD31BA" w:rsidP="009762AE">
      <w:pPr>
        <w:spacing w:after="0" w:line="360" w:lineRule="auto"/>
        <w:jc w:val="both"/>
        <w:rPr>
          <w:rFonts w:ascii="Adobe Garamond Pro" w:eastAsia="Calibri" w:hAnsi="Adobe Garamond Pro" w:cs="Times New Roman"/>
          <w:b/>
          <w:bCs/>
          <w:kern w:val="2"/>
          <w14:ligatures w14:val="standardContextual"/>
        </w:rPr>
      </w:pPr>
      <w:r w:rsidRPr="009762AE">
        <w:rPr>
          <w:rFonts w:ascii="Adobe Garamond Pro" w:eastAsia="Calibri" w:hAnsi="Adobe Garamond Pro" w:cs="Times New Roman"/>
          <w:b/>
          <w:bCs/>
          <w:kern w:val="2"/>
          <w14:ligatures w14:val="standardContextual"/>
        </w:rPr>
        <w:t>Advanced Research</w:t>
      </w:r>
    </w:p>
    <w:p w14:paraId="038FD187" w14:textId="602F87B0" w:rsidR="00BD31BA" w:rsidRDefault="00BD31BA" w:rsidP="009762AE">
      <w:pPr>
        <w:spacing w:line="360" w:lineRule="auto"/>
        <w:jc w:val="both"/>
        <w:rPr>
          <w:rFonts w:ascii="Adobe Garamond Pro" w:eastAsia="Calibri" w:hAnsi="Adobe Garamond Pro" w:cs="Times New Roman"/>
          <w:kern w:val="2"/>
          <w14:ligatures w14:val="standardContextual"/>
        </w:rPr>
      </w:pPr>
      <w:r w:rsidRPr="009762AE">
        <w:rPr>
          <w:rFonts w:ascii="Adobe Garamond Pro" w:eastAsia="Calibri" w:hAnsi="Adobe Garamond Pro" w:cs="Times New Roman"/>
          <w:kern w:val="2"/>
          <w14:ligatures w14:val="standardContextual"/>
        </w:rPr>
        <w:t xml:space="preserve">Further research needs to be conducted to develop a more effective digital marketing strategy through the use of big data, SEO, and influencers to expand national and international markets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{"citationItems":[{"id":"ITEM-1","itemData":{"DOI":"10.54066/jrime-itb.v3i1.2790","ISSN":"2985-623X","abstract":"This research explores digital marketing strategies aimed at enhancing brand awareness in the e-commerce era. With the significant shift towards online shopping, brand awareness has become a critical component for businesses. The study utilizes qualitative methods to gather insights on user experiences and perceptions regarding digital marketing and brand awareness. Findings indicate that effective digital marketing strategies, including social media engagement, influencer collaborations, and data analysis, significantly influence brand visibility and consumer interaction. The implications suggest that businesses must adapt their marketing strategies to leverage digital platforms for improved consumer connections and brand recognition..","author":[{"dropping-particle":"","family":"Rifaldi","given":"Muhammad","non-dropping-particle":"","parse-names":false,"suffix":""},{"dropping-particle":"","family":"Hartati","given":"Sri","non-dropping-particle":"","parse-names":false,"suffix":""},{"dropping-particle":"","family":"Vajriansyah","given":"Muhammad A.","non-dropping-particle":"","parse-names":false,"suffix":""}],"container-title":"Jurnal Riset Manajemen Dan Ekonomi (Jrime)","id":"ITEM-1","issue":"1","issued":{"date-parts":[["2024"]]},"page":"58-65","title":"Strategi Pemasaran Digital untuk Meningkatkan Brand Awareness di Era E-Commerce","type":"article-journal","volume":"3"},"uris":["http://www.mendeley.com/documents/?uuid=22ca3c89-ab1d-4f4a-bcfb-67dafe4ad2da"]}],"mendeley":{"formattedCitation":"(Rifaldi et al. 2024)","plainTextFormattedCitation":"(Rifaldi et al. 2024)","previouslyFormattedCitation":"(Rifaldi et al. 2024)"},"properties":{"noteIndex":0},"schema":"https://github.com/citation-style-language/schema/raw/master/csl-citation.json"}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(Rifaldi et al. 2024)</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xml:space="preserve">. Comparative studies between traditional and digital business models are important to find efficient and sustainable business patterns. Strengthening financial audits, human resource training, and waste management with ISO 14001 standards are also needed to increase competitiveness </w:t>
      </w:r>
      <w:r w:rsidRPr="009762AE">
        <w:rPr>
          <w:rFonts w:ascii="Adobe Garamond Pro" w:eastAsia="Calibri" w:hAnsi="Adobe Garamond Pro" w:cs="Times New Roman"/>
          <w:kern w:val="2"/>
          <w14:ligatures w14:val="standardContextual"/>
        </w:rPr>
        <w:fldChar w:fldCharType="begin" w:fldLock="1"/>
      </w:r>
      <w:r w:rsidR="00C40B61">
        <w:rPr>
          <w:rFonts w:ascii="Adobe Garamond Pro" w:eastAsia="Calibri" w:hAnsi="Adobe Garamond Pro" w:cs="Times New Roman"/>
          <w:kern w:val="2"/>
          <w14:ligatures w14:val="standardContextual"/>
        </w:rPr>
        <w:instrText>ADDIN CSL_CITATION {"citationItems":[{"id":"ITEM-1","itemData":{"ISSN":"2460-5891","author":[{"dropping-particle":"","family":"Tanjung","given":"Rahmad Fachreza","non-dropping-particle":"","parse-names":false,"suffix":""},{"dropping-particle":"","family":"Husna","given":"Asmaul","non-dropping-particle":"","parse-names":false,"suffix":""}],"container-title":"JEMSI (Jurnal Ekonomi, Manajemen, dan Akuntansi)","id":"ITEM-1","issue":"3","issued":{"date-parts":[["2025"]]},"page":"1920-1927","title":"Pengaruh Sistem Informasi Akuntasi dan Human Capital Terhadap Pengelolaan Pada UMKM","type":"article-journal","volume":"11"},"uris":["http://www.mendeley.com/documents/?uuid=9e0dd001-843e-4087-ab40-942db4b2cfa4","http://www.mendeley.com/documents/?uuid=1beead49-3604-4086-a74b-956bfbab0dc5"]},{"id":"ITEM-2","itemData":{"ISBN":"2005031100","author":[{"dropping-particle":"","family":"Hn &amp; Solekah","given":"Lailatus Syarifah; Aslamatis; Nihayatu;","non-dropping-particle":"","parse-names":false,"suffix":""}],"container-title":"Maliki Interdisciplinary Journal (MIJ) eISSN","id":"ITEM-2","issue":"4","issued":{"date-parts":[["2024"]]},"page":"252-257","title":"Analisis studi kelayakan bisnis kerupuk amplang ikan tenggiri: Studi kasus pada UD RAR Crackers","type":"article-journal","volume":"2"},"uris":["http://www.mendeley.com/documents/?uuid=9d9c1b81-3f53-42d7-807b-6d2e3c8db1bf","http://www.mendeley.com/documents/?uuid=110ae075-1c3b-4817-afc1-9023f4e6505e"]},{"id":"ITEM-3","itemData":{"DOI":"10.31603/ce.13099","ISSN":"2614-4964","abstract":"This community service activity aims to enhance the effectiveness of digital marketing for retail Micro, Small, and Medium Enterprises (MSMEs), specifically Pasundan Gorden, through the integration of e-commerce and social media. The activities encompassed the design of a user-friendly e-commerce website, the development of focused social media campaigns, and the evaluation of their impact on business performance. Implementation methods included identifying participant needs, preparing training materials, conducting interactive workshops, and post-training evaluation. Results demonstrated a significant improvement in participants' understanding and skills in digital marketing, with average scores increasing from 60 to 85. Furthermore, a responsive website and focused social media campaigns were created, leading to increased consumer engagement, brand awareness, and sales. Dissemination of information on content marketing, SEO, and augmented reality is recommended to enhance customer loyalty. Thus, this activity serves as a model for other MSMEs to improve digital competitiveness through planned strategy implementation and continuous evaluation.","author":[{"dropping-particle":"","family":"Surahman","given":"Surahman","non-dropping-particle":"","parse-names":false,"suffix":""},{"dropping-particle":"","family":"Hariyadi","given":"Sugeng","non-dropping-particle":"","parse-names":false,"suffix":""},{"dropping-particle":"","family":"Barus","given":"Bela","non-dropping-particle":"","parse-names":false,"suffix":""},{"dropping-particle":"","family":"Batoteng","given":"Hendrik","non-dropping-particle":"","parse-names":false,"suffix":""},{"dropping-particle":"","family":"Rahmadhani","given":"Adestya","non-dropping-particle":"","parse-names":false,"suffix":""},{"dropping-particle":"","family":"Aisyayah","given":"Wulan Nur","non-dropping-particle":"","parse-names":false,"suffix":""},{"dropping-particle":"","family":"Pustpita","given":"Aulia Oktaviani","non-dropping-particle":"","parse-names":false,"suffix":""},{"dropping-particle":"","family":"Febrianti","given":"Nadya","non-dropping-particle":"","parse-names":false,"suffix":""}],"container-title":"Community Empowerment","id":"ITEM-3","issue":"6","issued":{"date-parts":[["2025"]]},"page":"1349-1357","title":"Digital transformation for MSMEs: Boosting sales through e-commerce and social media","type":"article-journal","volume":"10"},"uris":["http://www.mendeley.com/documents/?uuid=86ea77d9-bc84-462e-8ff2-01cbeaffa7b8","http://www.mendeley.com/documents/?uuid=5bdf309e-f44d-4ba7-b38b-56527c796672","http://www.mendeley.com/documents/?uuid=050adb32-1ea7-4afd-a981-8c764b4eddae"]}],"mendeley":{"formattedCitation":"(Hn &amp; Solekah 2024; Surahman et al. 2025; Tanjung and Husna 2025)","plainTextFormattedCitation":"(Hn &amp; Solekah 2024; Surahman et al. 2025; Tanjung and Husna 2025)","previouslyFormattedCitation":"(Hn &amp; Solekah 2024; Surahman et al. 2025; Tanjung and Husna 2025)"},"properties":{"noteIndex":0},"schema":"https://github.com/citation-style-language/schema/raw/master/csl-citation.json"}</w:instrText>
      </w:r>
      <w:r w:rsidRPr="009762AE">
        <w:rPr>
          <w:rFonts w:ascii="Adobe Garamond Pro" w:eastAsia="Calibri" w:hAnsi="Adobe Garamond Pro" w:cs="Times New Roman"/>
          <w:kern w:val="2"/>
          <w14:ligatures w14:val="standardContextual"/>
        </w:rPr>
        <w:fldChar w:fldCharType="separate"/>
      </w:r>
      <w:r w:rsidR="00C40B61" w:rsidRPr="00C40B61">
        <w:rPr>
          <w:rFonts w:ascii="Adobe Garamond Pro" w:eastAsia="Calibri" w:hAnsi="Adobe Garamond Pro" w:cs="Times New Roman"/>
          <w:noProof/>
          <w:kern w:val="2"/>
          <w14:ligatures w14:val="standardContextual"/>
        </w:rPr>
        <w:t>(Hn &amp; Solekah 2024; Surahman et al. 2025; Tanjung and Husna 2025)</w:t>
      </w:r>
      <w:r w:rsidRPr="009762AE">
        <w:rPr>
          <w:rFonts w:ascii="Adobe Garamond Pro" w:eastAsia="Calibri" w:hAnsi="Adobe Garamond Pro" w:cs="Times New Roman"/>
          <w:kern w:val="2"/>
          <w14:ligatures w14:val="standardContextual"/>
        </w:rPr>
        <w:fldChar w:fldCharType="end"/>
      </w:r>
      <w:r w:rsidRPr="009762AE">
        <w:rPr>
          <w:rFonts w:ascii="Adobe Garamond Pro" w:eastAsia="Calibri" w:hAnsi="Adobe Garamond Pro" w:cs="Times New Roman"/>
          <w:kern w:val="2"/>
          <w14:ligatures w14:val="standardContextual"/>
        </w:rPr>
        <w:t>. Further research needs to be carried out as market dynamics, digital technology, and environmental sustainability demands continue to change rapidly. Without research-based innovation, amplang business actors risk falling behind in competition, losing operational efficiency, and failing to adapt to global market trends and green economy policies that are now the standard of modern industry.</w:t>
      </w:r>
    </w:p>
    <w:p w14:paraId="45CFF472" w14:textId="77777777" w:rsidR="002544F2" w:rsidRDefault="002544F2" w:rsidP="009762AE">
      <w:pPr>
        <w:spacing w:line="360" w:lineRule="auto"/>
        <w:jc w:val="both"/>
        <w:rPr>
          <w:rFonts w:ascii="Adobe Garamond Pro" w:eastAsia="Calibri" w:hAnsi="Adobe Garamond Pro" w:cs="Times New Roman"/>
          <w:kern w:val="2"/>
          <w14:ligatures w14:val="standardContextual"/>
        </w:rPr>
      </w:pPr>
    </w:p>
    <w:p w14:paraId="4B70440D" w14:textId="77777777" w:rsidR="002544F2" w:rsidRPr="009762AE" w:rsidRDefault="002544F2" w:rsidP="009762AE">
      <w:pPr>
        <w:spacing w:line="360" w:lineRule="auto"/>
        <w:jc w:val="both"/>
        <w:rPr>
          <w:rFonts w:ascii="Adobe Garamond Pro" w:eastAsia="Calibri" w:hAnsi="Adobe Garamond Pro" w:cs="Times New Roman"/>
          <w:kern w:val="2"/>
          <w14:ligatures w14:val="standardContextual"/>
        </w:rPr>
      </w:pPr>
    </w:p>
    <w:p w14:paraId="30230D07" w14:textId="319B614A" w:rsidR="00A67F58" w:rsidRPr="007672DE" w:rsidRDefault="007672DE" w:rsidP="00A73294">
      <w:pPr>
        <w:pStyle w:val="ListParagraph"/>
        <w:numPr>
          <w:ilvl w:val="0"/>
          <w:numId w:val="2"/>
        </w:numPr>
        <w:suppressAutoHyphens/>
        <w:spacing w:line="360" w:lineRule="auto"/>
        <w:ind w:hanging="720"/>
        <w:contextualSpacing w:val="0"/>
        <w:jc w:val="both"/>
        <w:rPr>
          <w:rFonts w:ascii="Arial" w:hAnsi="Arial" w:cs="Arial"/>
          <w:b/>
          <w:color w:val="0070C0"/>
        </w:rPr>
      </w:pPr>
      <w:r w:rsidRPr="007672DE">
        <w:rPr>
          <w:rFonts w:ascii="Arial" w:hAnsi="Arial" w:cs="Arial"/>
          <w:b/>
          <w:color w:val="0070C0"/>
        </w:rPr>
        <w:lastRenderedPageBreak/>
        <w:t>CONCLUSION AND SUGGESTION</w:t>
      </w:r>
      <w:r>
        <w:rPr>
          <w:rFonts w:ascii="Arial" w:hAnsi="Arial" w:cs="Arial"/>
          <w:b/>
          <w:color w:val="0070C0"/>
        </w:rPr>
        <w:t xml:space="preserve"> </w:t>
      </w:r>
    </w:p>
    <w:p w14:paraId="44298698" w14:textId="77777777" w:rsidR="004753F5" w:rsidRPr="004753F5" w:rsidRDefault="004753F5" w:rsidP="002544F2">
      <w:pPr>
        <w:spacing w:before="120" w:line="360" w:lineRule="auto"/>
        <w:jc w:val="both"/>
        <w:rPr>
          <w:rFonts w:ascii="Adobe Garamond Pro" w:eastAsia="Times New Roman" w:hAnsi="Adobe Garamond Pro" w:cs="Times New Roman"/>
        </w:rPr>
      </w:pPr>
      <w:r w:rsidRPr="004753F5">
        <w:rPr>
          <w:rFonts w:ascii="Adobe Garamond Pro" w:eastAsia="Times New Roman" w:hAnsi="Adobe Garamond Pro" w:cs="Times New Roman"/>
        </w:rPr>
        <w:t>Amplang Sinar Baru in Samarinda shows strong business feasibility, especially from the financial side with positive NPV, high IRR, a short payback period, and a realistic BEP. These indicators prove the business can provide fast and stable capital returns. Its competitive advantage is supported by halal certification and PIRT permits, adding consumer trust in quality and safety. However, challenges remain in production efficiency that still uses traditional methods, limited human resources, and manual financial management. To grow, the business must modernize production, improve HR capacity, and strengthen supplier partnerships. Government support in digital marketing training, licensing ease, and trademark protection will help micro business like Amplang Sinar Baru compete better. With innovation, better financial systems, and professional digital marketing through e-commerce and influencers, this business can expand nationally and internationally. Overall, the business has a solid foundation to grow sustainability if adapts to market trends and applies integrated management across financial, operational, and legal aspects. The sustainability and growth of the business is highly dependent on adapting to market and technological trends as well as optimal resource management to face the increasingly fierce competition in the snack industry.</w:t>
      </w:r>
    </w:p>
    <w:p w14:paraId="4401E841" w14:textId="1837D963" w:rsidR="004753F5" w:rsidRPr="004753F5" w:rsidRDefault="004753F5" w:rsidP="004753F5">
      <w:pPr>
        <w:spacing w:before="120" w:after="0" w:line="360" w:lineRule="auto"/>
        <w:ind w:firstLine="562"/>
        <w:jc w:val="both"/>
        <w:rPr>
          <w:rFonts w:ascii="Adobe Garamond Pro" w:eastAsia="Times New Roman" w:hAnsi="Adobe Garamond Pro" w:cs="Times New Roman"/>
        </w:rPr>
      </w:pPr>
      <w:r w:rsidRPr="004753F5">
        <w:rPr>
          <w:rFonts w:ascii="Adobe Garamond Pro" w:eastAsia="Times New Roman" w:hAnsi="Adobe Garamond Pro" w:cs="Times New Roman"/>
        </w:rPr>
        <w:t>This conclusion illustrates the importance of a holistic approach in business feasibility studies that not only assesses financial aspects but also technical, operational, marketing, human resources, and legality aspects in an integrated manner so that micro businesses can survive and thrive in the dynamic digital era.</w:t>
      </w:r>
    </w:p>
    <w:p w14:paraId="3AF67B1D" w14:textId="77777777" w:rsidR="00E95657" w:rsidRDefault="00E95657">
      <w:pPr>
        <w:tabs>
          <w:tab w:val="left" w:pos="360"/>
          <w:tab w:val="left" w:pos="993"/>
        </w:tabs>
        <w:spacing w:after="0" w:line="360" w:lineRule="auto"/>
        <w:jc w:val="both"/>
        <w:rPr>
          <w:rFonts w:cstheme="minorHAnsi"/>
          <w:lang w:val="id-ID"/>
        </w:rPr>
      </w:pPr>
    </w:p>
    <w:p w14:paraId="2EEF8E6F" w14:textId="5DE40E69" w:rsidR="00A67F58" w:rsidRDefault="007672DE">
      <w:pPr>
        <w:tabs>
          <w:tab w:val="left" w:pos="360"/>
        </w:tabs>
        <w:spacing w:after="0" w:line="360" w:lineRule="auto"/>
        <w:ind w:left="360" w:hanging="360"/>
        <w:jc w:val="both"/>
        <w:rPr>
          <w:rFonts w:ascii="Arial" w:hAnsi="Arial" w:cs="Arial"/>
          <w:b/>
          <w:color w:val="0070C0"/>
        </w:rPr>
      </w:pPr>
      <w:r w:rsidRPr="007672DE">
        <w:rPr>
          <w:rFonts w:ascii="Arial" w:hAnsi="Arial" w:cs="Arial"/>
          <w:b/>
          <w:color w:val="0070C0"/>
        </w:rPr>
        <w:t>REFERENCE</w:t>
      </w:r>
    </w:p>
    <w:p w14:paraId="4DC6B744" w14:textId="121305C5"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b/>
          <w:color w:val="0070C0"/>
        </w:rPr>
        <w:fldChar w:fldCharType="begin" w:fldLock="1"/>
      </w:r>
      <w:r w:rsidRPr="00C40B61">
        <w:rPr>
          <w:rFonts w:ascii="Adobe Garamond Pro" w:hAnsi="Adobe Garamond Pro" w:cs="Arial"/>
          <w:b/>
          <w:color w:val="0070C0"/>
        </w:rPr>
        <w:instrText xml:space="preserve">ADDIN Mendeley Bibliography CSL_BIBLIOGRAPHY </w:instrText>
      </w:r>
      <w:r w:rsidRPr="00C40B61">
        <w:rPr>
          <w:rFonts w:ascii="Adobe Garamond Pro" w:hAnsi="Adobe Garamond Pro" w:cs="Arial"/>
          <w:b/>
          <w:color w:val="0070C0"/>
        </w:rPr>
        <w:fldChar w:fldCharType="separate"/>
      </w:r>
      <w:r w:rsidRPr="00C40B61">
        <w:rPr>
          <w:rFonts w:ascii="Adobe Garamond Pro" w:hAnsi="Adobe Garamond Pro" w:cs="Arial"/>
          <w:noProof/>
          <w:szCs w:val="24"/>
        </w:rPr>
        <w:t xml:space="preserve">Aldi Anjayani, Ari Jumadi Kirnadi, and Yarna Hasiani. 2023. “Analisis Pendapatan Usaha Industri Rumah Tangga Amplang Ikan Tenggiri (Scomberomorus Commerson) Di Desa Tabanio Kecamatan Takisung Kabupaten Tanah Laut (Studi Kasus Amplang Ikan Tenggiri Mama Helman).” </w:t>
      </w:r>
      <w:r w:rsidRPr="00C40B61">
        <w:rPr>
          <w:rFonts w:ascii="Adobe Garamond Pro" w:hAnsi="Adobe Garamond Pro" w:cs="Arial"/>
          <w:i/>
          <w:iCs/>
          <w:noProof/>
          <w:szCs w:val="24"/>
        </w:rPr>
        <w:t>Cholorophyl</w:t>
      </w:r>
      <w:r w:rsidRPr="00C40B61">
        <w:rPr>
          <w:rFonts w:ascii="Adobe Garamond Pro" w:hAnsi="Adobe Garamond Pro" w:cs="Arial"/>
          <w:noProof/>
          <w:szCs w:val="24"/>
        </w:rPr>
        <w:t xml:space="preserve"> 16(2):86–94. doi:10.57216/chlorophyl.v16i2.703.</w:t>
      </w:r>
    </w:p>
    <w:p w14:paraId="5B718218"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Ariani, Misna, Didik Hadiyatno, Tutik Yuliani, and Dwinda Tamara. 2023. “Ikan Bandeng Di Desa Argo Mulyo Kecamatan Sepaku Kabupaten Penajam Paser Utara ( Ppu ).” </w:t>
      </w:r>
      <w:r w:rsidRPr="00C40B61">
        <w:rPr>
          <w:rFonts w:ascii="Adobe Garamond Pro" w:hAnsi="Adobe Garamond Pro" w:cs="Arial"/>
          <w:i/>
          <w:iCs/>
          <w:noProof/>
          <w:szCs w:val="24"/>
        </w:rPr>
        <w:t>Jurnal Abdi Masyarakat Ilmu Ekonomi</w:t>
      </w:r>
      <w:r w:rsidRPr="00C40B61">
        <w:rPr>
          <w:rFonts w:ascii="Adobe Garamond Pro" w:hAnsi="Adobe Garamond Pro" w:cs="Arial"/>
          <w:noProof/>
          <w:szCs w:val="24"/>
        </w:rPr>
        <w:t xml:space="preserve"> 5(2):48–54.</w:t>
      </w:r>
    </w:p>
    <w:p w14:paraId="2C98BD1E"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Arniyasa, Putu Yasti Putri, and Ni Luh Karmini. 2023. “Pengaruh Modal Usaha, Tenaga Kerja, Dan Penggunaan E-Commerce Terhadap Pendapatan UMKM Bidang Kuliner Di Kota Denpasar.” </w:t>
      </w:r>
      <w:r w:rsidRPr="00C40B61">
        <w:rPr>
          <w:rFonts w:ascii="Adobe Garamond Pro" w:hAnsi="Adobe Garamond Pro" w:cs="Arial"/>
          <w:i/>
          <w:iCs/>
          <w:noProof/>
          <w:szCs w:val="24"/>
        </w:rPr>
        <w:t>Public Service And Governance Journal</w:t>
      </w:r>
      <w:r w:rsidRPr="00C40B61">
        <w:rPr>
          <w:rFonts w:ascii="Adobe Garamond Pro" w:hAnsi="Adobe Garamond Pro" w:cs="Arial"/>
          <w:noProof/>
          <w:szCs w:val="24"/>
        </w:rPr>
        <w:t xml:space="preserve"> 4(2):139–49.</w:t>
      </w:r>
    </w:p>
    <w:p w14:paraId="7A9BFF09"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Arumsari, Nurul Rizka, Nurzahroh Lailyah, and Tina Rahayu. 2022. “Peran Digital Marketing Dalam Upaya Pengembangan UMKM Berbasis Teknologi Di Kelurahan Plamongansari Semarang.” </w:t>
      </w:r>
      <w:r w:rsidRPr="00C40B61">
        <w:rPr>
          <w:rFonts w:ascii="Adobe Garamond Pro" w:hAnsi="Adobe Garamond Pro" w:cs="Arial"/>
          <w:i/>
          <w:iCs/>
          <w:noProof/>
          <w:szCs w:val="24"/>
        </w:rPr>
        <w:t>SEMAR (Jurnal Ilmu Pengetahuan, Teknologi, Dan Seni Bagi Masyarakat)</w:t>
      </w:r>
      <w:r w:rsidRPr="00C40B61">
        <w:rPr>
          <w:rFonts w:ascii="Adobe Garamond Pro" w:hAnsi="Adobe Garamond Pro" w:cs="Arial"/>
          <w:noProof/>
          <w:szCs w:val="24"/>
        </w:rPr>
        <w:t xml:space="preserve"> 11(1):92. doi:10.20961/semar.v11i1.57610.</w:t>
      </w:r>
    </w:p>
    <w:p w14:paraId="4D9405FD"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Asari, Fahreza Naafi, and Nihayatu Aslamatis Solekah. 2025. “Analisis Studi Kelayakan Bisnis Pada UMKM</w:t>
      </w:r>
      <w:r w:rsidRPr="00C40B61">
        <w:rPr>
          <w:rFonts w:ascii="Times New Roman" w:hAnsi="Times New Roman" w:cs="Times New Roman"/>
          <w:noProof/>
          <w:szCs w:val="24"/>
        </w:rPr>
        <w:t> </w:t>
      </w:r>
      <w:r w:rsidRPr="00C40B61">
        <w:rPr>
          <w:rFonts w:ascii="Adobe Garamond Pro" w:hAnsi="Adobe Garamond Pro" w:cs="Arial"/>
          <w:noProof/>
          <w:szCs w:val="24"/>
        </w:rPr>
        <w:t>: Studi Pada Rezzen Bakery.</w:t>
      </w:r>
      <w:r w:rsidRPr="00C40B61">
        <w:rPr>
          <w:rFonts w:ascii="Garamond" w:hAnsi="Garamond" w:cs="Garamond"/>
          <w:noProof/>
          <w:szCs w:val="24"/>
        </w:rPr>
        <w:t>”</w:t>
      </w:r>
      <w:r w:rsidRPr="00C40B61">
        <w:rPr>
          <w:rFonts w:ascii="Adobe Garamond Pro" w:hAnsi="Adobe Garamond Pro" w:cs="Arial"/>
          <w:noProof/>
          <w:szCs w:val="24"/>
        </w:rPr>
        <w:t xml:space="preserve"> 3:2131</w:t>
      </w:r>
      <w:r w:rsidRPr="00C40B61">
        <w:rPr>
          <w:rFonts w:ascii="Garamond" w:hAnsi="Garamond" w:cs="Garamond"/>
          <w:noProof/>
          <w:szCs w:val="24"/>
        </w:rPr>
        <w:t>–</w:t>
      </w:r>
      <w:r w:rsidRPr="00C40B61">
        <w:rPr>
          <w:rFonts w:ascii="Adobe Garamond Pro" w:hAnsi="Adobe Garamond Pro" w:cs="Arial"/>
          <w:noProof/>
          <w:szCs w:val="24"/>
        </w:rPr>
        <w:t>35.</w:t>
      </w:r>
    </w:p>
    <w:p w14:paraId="42B68F5B"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Asmarawati, Citra Indah, and Kristanto Ginting. 2024. “Analisis Kelayakan Finansial Pada Usaha Ayam </w:t>
      </w:r>
      <w:r w:rsidRPr="00C40B61">
        <w:rPr>
          <w:rFonts w:ascii="Adobe Garamond Pro" w:hAnsi="Adobe Garamond Pro" w:cs="Arial"/>
          <w:noProof/>
          <w:szCs w:val="24"/>
        </w:rPr>
        <w:lastRenderedPageBreak/>
        <w:t xml:space="preserve">Geprek Di Kota Batam.” </w:t>
      </w:r>
      <w:r w:rsidRPr="00C40B61">
        <w:rPr>
          <w:rFonts w:ascii="Adobe Garamond Pro" w:hAnsi="Adobe Garamond Pro" w:cs="Arial"/>
          <w:i/>
          <w:iCs/>
          <w:noProof/>
          <w:szCs w:val="24"/>
        </w:rPr>
        <w:t>Jurnal Surya Teknika</w:t>
      </w:r>
      <w:r w:rsidRPr="00C40B61">
        <w:rPr>
          <w:rFonts w:ascii="Adobe Garamond Pro" w:hAnsi="Adobe Garamond Pro" w:cs="Arial"/>
          <w:noProof/>
          <w:szCs w:val="24"/>
        </w:rPr>
        <w:t xml:space="preserve"> 11(1):29–32. doi:10.37859/jst.v11i1.6796.</w:t>
      </w:r>
    </w:p>
    <w:p w14:paraId="70A664BB"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Bambang, Supomo, and Indriantoro Nur. 2009. “Metodologi Penelitian Bisnis Untuk Akuntansi Dan Manajemen.” </w:t>
      </w:r>
      <w:r w:rsidRPr="00C40B61">
        <w:rPr>
          <w:rFonts w:ascii="Adobe Garamond Pro" w:hAnsi="Adobe Garamond Pro" w:cs="Arial"/>
          <w:i/>
          <w:iCs/>
          <w:noProof/>
          <w:szCs w:val="24"/>
        </w:rPr>
        <w:t>Yogyakarta: Bpfe</w:t>
      </w:r>
      <w:r w:rsidRPr="00C40B61">
        <w:rPr>
          <w:rFonts w:ascii="Adobe Garamond Pro" w:hAnsi="Adobe Garamond Pro" w:cs="Arial"/>
          <w:noProof/>
          <w:szCs w:val="24"/>
        </w:rPr>
        <w:t>.</w:t>
      </w:r>
    </w:p>
    <w:p w14:paraId="3A734F7F"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Bird, Drayton. 2007. </w:t>
      </w:r>
      <w:r w:rsidRPr="00C40B61">
        <w:rPr>
          <w:rFonts w:ascii="Adobe Garamond Pro" w:hAnsi="Adobe Garamond Pro" w:cs="Arial"/>
          <w:i/>
          <w:iCs/>
          <w:noProof/>
          <w:szCs w:val="24"/>
        </w:rPr>
        <w:t>Commonsense Direct &amp; Digital Marketing</w:t>
      </w:r>
      <w:r w:rsidRPr="00C40B61">
        <w:rPr>
          <w:rFonts w:ascii="Adobe Garamond Pro" w:hAnsi="Adobe Garamond Pro" w:cs="Arial"/>
          <w:noProof/>
          <w:szCs w:val="24"/>
        </w:rPr>
        <w:t>. Kogan Page Publishers.</w:t>
      </w:r>
    </w:p>
    <w:p w14:paraId="74BD94D3"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Brastoro. 2020. “Aspek Bisnis Usaha Toko Roti Di Jakarta.” </w:t>
      </w:r>
      <w:r w:rsidRPr="00C40B61">
        <w:rPr>
          <w:rFonts w:ascii="Adobe Garamond Pro" w:hAnsi="Adobe Garamond Pro" w:cs="Arial"/>
          <w:i/>
          <w:iCs/>
          <w:noProof/>
          <w:szCs w:val="24"/>
        </w:rPr>
        <w:t>Jurnal Ekonomi Perusahaan</w:t>
      </w:r>
      <w:r w:rsidRPr="00C40B61">
        <w:rPr>
          <w:rFonts w:ascii="Adobe Garamond Pro" w:hAnsi="Adobe Garamond Pro" w:cs="Arial"/>
          <w:noProof/>
          <w:szCs w:val="24"/>
        </w:rPr>
        <w:t xml:space="preserve"> 2(2):1–9.</w:t>
      </w:r>
    </w:p>
    <w:p w14:paraId="28034CC1"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Candra Susanto, Primadi, Dewi Ulfah Arini, Devi Marlita, Lily Yuntina, and Euis Saribanon. 2024. “Mixed Methods Research Design Concepts: Quantitative, Qualitative, Exploratory Sequential, Exploratory Sequential, Embedded and Parallel Convergent.” </w:t>
      </w:r>
      <w:r w:rsidRPr="00C40B61">
        <w:rPr>
          <w:rFonts w:ascii="Adobe Garamond Pro" w:hAnsi="Adobe Garamond Pro" w:cs="Arial"/>
          <w:i/>
          <w:iCs/>
          <w:noProof/>
          <w:szCs w:val="24"/>
        </w:rPr>
        <w:t>International Journal of Advanced Multidisciplinary (IJAM)</w:t>
      </w:r>
      <w:r w:rsidRPr="00C40B61">
        <w:rPr>
          <w:rFonts w:ascii="Adobe Garamond Pro" w:hAnsi="Adobe Garamond Pro" w:cs="Arial"/>
          <w:noProof/>
          <w:szCs w:val="24"/>
        </w:rPr>
        <w:t xml:space="preserve"> 3(3):471–85.</w:t>
      </w:r>
    </w:p>
    <w:p w14:paraId="21A44362"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Haqiqiansyah, Gusti, Dayang Diah Fidhiani, and Zul Asman Randika. 2022. “Analisis Usaha Pengolahan Amplang Di Kecamatan Sanga-Sanga Kabupaten Kutai Kartanegara.” 1(2):94–100.</w:t>
      </w:r>
    </w:p>
    <w:p w14:paraId="35B9D414"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Hardini, Reziyana, Mentari Iffa Nurani, Faradita Larasayu, and Erwin Permana. 2023. “Strategi Pemasaran Bisnis Kuliner Menggunakan Influencer Di Media Sosial Instagram Pasca Pandemi.” </w:t>
      </w:r>
      <w:r w:rsidRPr="00C40B61">
        <w:rPr>
          <w:rFonts w:ascii="Adobe Garamond Pro" w:hAnsi="Adobe Garamond Pro" w:cs="Arial"/>
          <w:i/>
          <w:iCs/>
          <w:noProof/>
          <w:szCs w:val="24"/>
        </w:rPr>
        <w:t>Jurnal Riset Pendidikan Ekonomi</w:t>
      </w:r>
      <w:r w:rsidRPr="00C40B61">
        <w:rPr>
          <w:rFonts w:ascii="Adobe Garamond Pro" w:hAnsi="Adobe Garamond Pro" w:cs="Arial"/>
          <w:noProof/>
          <w:szCs w:val="24"/>
        </w:rPr>
        <w:t xml:space="preserve"> 8(2):134–48. doi:10.21067/jrpe.v8i2.8718.</w:t>
      </w:r>
    </w:p>
    <w:p w14:paraId="3509D610"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Hartanto Ismail, Adrian, and Rahmat Rahmat. 2023. “Studi Kelayakan Bisnis Untuk Pengembangan Usaha Pada Pt Talenta International Tourism.” </w:t>
      </w:r>
      <w:r w:rsidRPr="00C40B61">
        <w:rPr>
          <w:rFonts w:ascii="Adobe Garamond Pro" w:hAnsi="Adobe Garamond Pro" w:cs="Arial"/>
          <w:i/>
          <w:iCs/>
          <w:noProof/>
          <w:szCs w:val="24"/>
        </w:rPr>
        <w:t>Admit: Jurnal Administrasi Terapan</w:t>
      </w:r>
      <w:r w:rsidRPr="00C40B61">
        <w:rPr>
          <w:rFonts w:ascii="Adobe Garamond Pro" w:hAnsi="Adobe Garamond Pro" w:cs="Arial"/>
          <w:noProof/>
          <w:szCs w:val="24"/>
        </w:rPr>
        <w:t xml:space="preserve"> 1(2):223–40. doi:10.33509/admit.v1i2.2437.</w:t>
      </w:r>
    </w:p>
    <w:p w14:paraId="5565F2A3"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Hn &amp; Solekah, Lailatus Syarifah; Aslamatis; Nihayatu; 2024. “Analisis Studi Kelayakan Bisnis Kerupuk Amplang Ikan Tenggiri: Studi Kasus Pada UD RAR Crackers.” </w:t>
      </w:r>
      <w:r w:rsidRPr="00C40B61">
        <w:rPr>
          <w:rFonts w:ascii="Adobe Garamond Pro" w:hAnsi="Adobe Garamond Pro" w:cs="Arial"/>
          <w:i/>
          <w:iCs/>
          <w:noProof/>
          <w:szCs w:val="24"/>
        </w:rPr>
        <w:t>Maliki Interdisciplinary Journal (MIJ) EISSN</w:t>
      </w:r>
      <w:r w:rsidRPr="00C40B61">
        <w:rPr>
          <w:rFonts w:ascii="Adobe Garamond Pro" w:hAnsi="Adobe Garamond Pro" w:cs="Arial"/>
          <w:noProof/>
          <w:szCs w:val="24"/>
        </w:rPr>
        <w:t xml:space="preserve"> 2(4):252–57. http://urj.uin-malang.ac.id/index.php/mij/index.</w:t>
      </w:r>
    </w:p>
    <w:p w14:paraId="431A345A"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Johan, Suwinto. 2011. “Studi Kelayakan Pengembangan Bisnis.” </w:t>
      </w:r>
      <w:r w:rsidRPr="00C40B61">
        <w:rPr>
          <w:rFonts w:ascii="Adobe Garamond Pro" w:hAnsi="Adobe Garamond Pro" w:cs="Arial"/>
          <w:i/>
          <w:iCs/>
          <w:noProof/>
          <w:szCs w:val="24"/>
        </w:rPr>
        <w:t>Yogyakarta: Graha Ilmu</w:t>
      </w:r>
      <w:r w:rsidRPr="00C40B61">
        <w:rPr>
          <w:rFonts w:ascii="Adobe Garamond Pro" w:hAnsi="Adobe Garamond Pro" w:cs="Arial"/>
          <w:noProof/>
          <w:szCs w:val="24"/>
        </w:rPr>
        <w:t xml:space="preserve"> 13.</w:t>
      </w:r>
    </w:p>
    <w:p w14:paraId="5F573211"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Kesumanegara, Lorendzo Andrean, Putri Ayu Ogari, and Ema Pusvita. 2024. “Analisis Kelayakan Kelayakan Finansial Kuliner Agrowisata Tepian Danau Ranau Kabupaten Ogan Komering Ulu Selatan.” </w:t>
      </w:r>
      <w:r w:rsidRPr="00C40B61">
        <w:rPr>
          <w:rFonts w:ascii="Adobe Garamond Pro" w:hAnsi="Adobe Garamond Pro" w:cs="Arial"/>
          <w:i/>
          <w:iCs/>
          <w:noProof/>
          <w:szCs w:val="24"/>
        </w:rPr>
        <w:t>Jurnal Ilmiah Mahasiswa Agroinfo Galuh</w:t>
      </w:r>
      <w:r w:rsidRPr="00C40B61">
        <w:rPr>
          <w:rFonts w:ascii="Adobe Garamond Pro" w:hAnsi="Adobe Garamond Pro" w:cs="Arial"/>
          <w:noProof/>
          <w:szCs w:val="24"/>
        </w:rPr>
        <w:t xml:space="preserve"> 11(2):998–1009.</w:t>
      </w:r>
    </w:p>
    <w:p w14:paraId="2F289A0E"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Kusumaningrum, Dewi Ayu, Ramon Hurdawaty, and Vera Clara Simanjuntak. 2020. “Strategi Pemasaran Usaha Kuliner Di Kepulauan Seribu Utara, DKI Jakarta.” </w:t>
      </w:r>
      <w:r w:rsidRPr="00C40B61">
        <w:rPr>
          <w:rFonts w:ascii="Adobe Garamond Pro" w:hAnsi="Adobe Garamond Pro" w:cs="Arial"/>
          <w:i/>
          <w:iCs/>
          <w:noProof/>
          <w:szCs w:val="24"/>
        </w:rPr>
        <w:t>Jurnal Nusantara Aplikasi Manajemen Bisnis</w:t>
      </w:r>
      <w:r w:rsidRPr="00C40B61">
        <w:rPr>
          <w:rFonts w:ascii="Adobe Garamond Pro" w:hAnsi="Adobe Garamond Pro" w:cs="Arial"/>
          <w:noProof/>
          <w:szCs w:val="24"/>
        </w:rPr>
        <w:t xml:space="preserve"> 5(2):256–64.</w:t>
      </w:r>
    </w:p>
    <w:p w14:paraId="43AAE9CC"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Kusumaningrum, Ine Febri, Iqna Faridhatuz Zakia, Irfaus Saadah, Jian Natalia, Jonathan Rizki Eka Putra, and M. Soleh Mauludin. 2024. “Meningkatkan Legalitas Produk Melalui Pendampingan Untuk Pengurusan Ijin Edar Dan Sertifikasi Halal Pada UMKM Kusuma Sari.” </w:t>
      </w:r>
      <w:r w:rsidRPr="00C40B61">
        <w:rPr>
          <w:rFonts w:ascii="Adobe Garamond Pro" w:hAnsi="Adobe Garamond Pro" w:cs="Arial"/>
          <w:i/>
          <w:iCs/>
          <w:noProof/>
          <w:szCs w:val="24"/>
        </w:rPr>
        <w:t>Welfare</w:t>
      </w:r>
      <w:r w:rsidRPr="00C40B61">
        <w:rPr>
          <w:rFonts w:ascii="Times New Roman" w:hAnsi="Times New Roman" w:cs="Times New Roman"/>
          <w:i/>
          <w:iCs/>
          <w:noProof/>
          <w:szCs w:val="24"/>
        </w:rPr>
        <w:t> </w:t>
      </w:r>
      <w:r w:rsidRPr="00C40B61">
        <w:rPr>
          <w:rFonts w:ascii="Adobe Garamond Pro" w:hAnsi="Adobe Garamond Pro" w:cs="Arial"/>
          <w:i/>
          <w:iCs/>
          <w:noProof/>
          <w:szCs w:val="24"/>
        </w:rPr>
        <w:t>: Jurnal Pengabdian Masyarakat</w:t>
      </w:r>
      <w:r w:rsidRPr="00C40B61">
        <w:rPr>
          <w:rFonts w:ascii="Adobe Garamond Pro" w:hAnsi="Adobe Garamond Pro" w:cs="Arial"/>
          <w:noProof/>
          <w:szCs w:val="24"/>
        </w:rPr>
        <w:t xml:space="preserve"> 2(1):176–82. doi:10.30762/welfare.v2i1.807.</w:t>
      </w:r>
    </w:p>
    <w:p w14:paraId="0ED8015E"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Leni, Sugiyanti, Zenia Rabbil Melyona, Citra Oktavia Kamilah, and Silvia Mega. 2022. “Strategi Pemasaran Digital Untuk Meningkatkan Penjualan UMKM.” </w:t>
      </w:r>
      <w:r w:rsidRPr="00C40B61">
        <w:rPr>
          <w:rFonts w:ascii="Adobe Garamond Pro" w:hAnsi="Adobe Garamond Pro" w:cs="Arial"/>
          <w:i/>
          <w:iCs/>
          <w:noProof/>
          <w:szCs w:val="24"/>
        </w:rPr>
        <w:t>Jurnal Dinamika Manajemen</w:t>
      </w:r>
      <w:r w:rsidRPr="00C40B61">
        <w:rPr>
          <w:rFonts w:ascii="Adobe Garamond Pro" w:hAnsi="Adobe Garamond Pro" w:cs="Arial"/>
          <w:noProof/>
          <w:szCs w:val="24"/>
        </w:rPr>
        <w:t xml:space="preserve"> 1(0000–0000):100–110.</w:t>
      </w:r>
    </w:p>
    <w:p w14:paraId="0FB926DA"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Lorenzo, Hannah. 2024. “Mapping Asian And Asian-American Community Formations In Hartford Through Culturally-Related Businesses.” </w:t>
      </w:r>
      <w:r w:rsidRPr="00C40B61">
        <w:rPr>
          <w:rFonts w:ascii="Adobe Garamond Pro" w:hAnsi="Adobe Garamond Pro" w:cs="Arial"/>
          <w:i/>
          <w:iCs/>
          <w:noProof/>
          <w:szCs w:val="24"/>
        </w:rPr>
        <w:t>Maliki Journal of Innovation and Entrepreneurship</w:t>
      </w:r>
      <w:r w:rsidRPr="00C40B61">
        <w:rPr>
          <w:rFonts w:ascii="Adobe Garamond Pro" w:hAnsi="Adobe Garamond Pro" w:cs="Arial"/>
          <w:noProof/>
          <w:szCs w:val="24"/>
        </w:rPr>
        <w:t>.</w:t>
      </w:r>
    </w:p>
    <w:p w14:paraId="4D143969"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Manah, Mae, and Ciwuk Musiana Yudhawasthi. 2024. “Digital Storytelling Melalui Media Sosial Tiktok </w:t>
      </w:r>
      <w:r w:rsidRPr="00C40B61">
        <w:rPr>
          <w:rFonts w:ascii="Adobe Garamond Pro" w:hAnsi="Adobe Garamond Pro" w:cs="Arial"/>
          <w:noProof/>
          <w:szCs w:val="24"/>
        </w:rPr>
        <w:lastRenderedPageBreak/>
        <w:t xml:space="preserve">Dalam Promosi Kuliner Bekasi.” </w:t>
      </w:r>
      <w:r w:rsidRPr="00C40B61">
        <w:rPr>
          <w:rFonts w:ascii="Adobe Garamond Pro" w:hAnsi="Adobe Garamond Pro" w:cs="Arial"/>
          <w:i/>
          <w:iCs/>
          <w:noProof/>
          <w:szCs w:val="24"/>
        </w:rPr>
        <w:t>Scriptura</w:t>
      </w:r>
      <w:r w:rsidRPr="00C40B61">
        <w:rPr>
          <w:rFonts w:ascii="Adobe Garamond Pro" w:hAnsi="Adobe Garamond Pro" w:cs="Arial"/>
          <w:noProof/>
          <w:szCs w:val="24"/>
        </w:rPr>
        <w:t xml:space="preserve"> 14(1):25–33. doi:10.9744/scriptura.14.1.25-33.</w:t>
      </w:r>
    </w:p>
    <w:p w14:paraId="1BEB3E2C"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Melani, Syeila, Elisah Elisah, Sofia Maharani, Jagad Kusuma Devy, and RR. Wening Ken Widodasih. 2024. “Business Feasibility Study Analysis of the Frustashit Store Business in Terms of Non-Financial Aspects and Financial Aspects.” </w:t>
      </w:r>
      <w:r w:rsidRPr="00C40B61">
        <w:rPr>
          <w:rFonts w:ascii="Adobe Garamond Pro" w:hAnsi="Adobe Garamond Pro" w:cs="Arial"/>
          <w:i/>
          <w:iCs/>
          <w:noProof/>
          <w:szCs w:val="24"/>
        </w:rPr>
        <w:t>Dynamic Management Journal</w:t>
      </w:r>
      <w:r w:rsidRPr="00C40B61">
        <w:rPr>
          <w:rFonts w:ascii="Adobe Garamond Pro" w:hAnsi="Adobe Garamond Pro" w:cs="Arial"/>
          <w:noProof/>
          <w:szCs w:val="24"/>
        </w:rPr>
        <w:t xml:space="preserve"> 8(1):121. doi:10.31000/dmj.v8i1.10509.</w:t>
      </w:r>
    </w:p>
    <w:p w14:paraId="2ABCED56"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Moeller, Aleidine J., John W. Creswell, and Nick Saville. 2016. </w:t>
      </w:r>
      <w:r w:rsidRPr="00C40B61">
        <w:rPr>
          <w:rFonts w:ascii="Adobe Garamond Pro" w:hAnsi="Adobe Garamond Pro" w:cs="Arial"/>
          <w:i/>
          <w:iCs/>
          <w:noProof/>
          <w:szCs w:val="24"/>
        </w:rPr>
        <w:t>Second Language Assessment and Mixed Methods Research from Testing and Innovation Theory Solution Academic Writing in Higher Education Use of Multilingual Proficiency Frameworks</w:t>
      </w:r>
      <w:r w:rsidRPr="00C40B61">
        <w:rPr>
          <w:rFonts w:ascii="Adobe Garamond Pro" w:hAnsi="Adobe Garamond Pro" w:cs="Arial"/>
          <w:noProof/>
          <w:szCs w:val="24"/>
        </w:rPr>
        <w:t>.</w:t>
      </w:r>
    </w:p>
    <w:p w14:paraId="2CE9BD6E"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Nurul Beauty, Shafera, Pusvita Ema, Septianita Septianita, and M. Si SP. 2023. “Pengaruh Wisata Alam Pulau Keban Agung Terhadap Perekonomian Di Kecamatan Semidang Aji Kabupaten Oku.” </w:t>
      </w:r>
      <w:r w:rsidRPr="00C40B61">
        <w:rPr>
          <w:rFonts w:ascii="Adobe Garamond Pro" w:hAnsi="Adobe Garamond Pro" w:cs="Arial"/>
          <w:i/>
          <w:iCs/>
          <w:noProof/>
          <w:szCs w:val="24"/>
        </w:rPr>
        <w:t>Doctoral Dissertation, Universitas Baturaja</w:t>
      </w:r>
      <w:r w:rsidRPr="00C40B61">
        <w:rPr>
          <w:rFonts w:ascii="Adobe Garamond Pro" w:hAnsi="Adobe Garamond Pro" w:cs="Arial"/>
          <w:noProof/>
          <w:szCs w:val="24"/>
        </w:rPr>
        <w:t>.</w:t>
      </w:r>
    </w:p>
    <w:p w14:paraId="1E14FFDA"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Oey, Michelle, and Juliana. 2022. “Business Feasibility Study Joyinz Café at KH. Soleh Ali, Tangerang.” </w:t>
      </w:r>
      <w:r w:rsidRPr="00C40B61">
        <w:rPr>
          <w:rFonts w:ascii="Adobe Garamond Pro" w:hAnsi="Adobe Garamond Pro" w:cs="Arial"/>
          <w:i/>
          <w:iCs/>
          <w:noProof/>
          <w:szCs w:val="24"/>
        </w:rPr>
        <w:t>International Journal of Social and Management Studies (Ijosmas)</w:t>
      </w:r>
      <w:r w:rsidRPr="00C40B61">
        <w:rPr>
          <w:rFonts w:ascii="Adobe Garamond Pro" w:hAnsi="Adobe Garamond Pro" w:cs="Arial"/>
          <w:noProof/>
          <w:szCs w:val="24"/>
        </w:rPr>
        <w:t xml:space="preserve"> 3 (2)(2):164–74.</w:t>
      </w:r>
    </w:p>
    <w:p w14:paraId="26A80E56"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Pertiwi, Dian Eka, and Dwi Desi Yayi Tarina. 2023. “Kedudukan Sertifikat Merek Bagi Perlindungan Badan Usaha Mikro Kecil Dan Menengah.” </w:t>
      </w:r>
      <w:r w:rsidRPr="00C40B61">
        <w:rPr>
          <w:rFonts w:ascii="Adobe Garamond Pro" w:hAnsi="Adobe Garamond Pro" w:cs="Arial"/>
          <w:i/>
          <w:iCs/>
          <w:noProof/>
          <w:szCs w:val="24"/>
        </w:rPr>
        <w:t>Justisi</w:t>
      </w:r>
      <w:r w:rsidRPr="00C40B61">
        <w:rPr>
          <w:rFonts w:ascii="Adobe Garamond Pro" w:hAnsi="Adobe Garamond Pro" w:cs="Arial"/>
          <w:noProof/>
          <w:szCs w:val="24"/>
        </w:rPr>
        <w:t xml:space="preserve"> 9(3):266–78. doi:10.33506/jurnaljustisi.v9i3.2472.</w:t>
      </w:r>
    </w:p>
    <w:p w14:paraId="183ABF4E"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Pusvita, L. Andrean; Putri Ayu Ogari; Ema. 2024. “Analisis Kelayakan Finansial Kuliner Agrowisata Tepian Danau Ranau Kabupaten Ogan Komering Ulu Selatan.” </w:t>
      </w:r>
      <w:r w:rsidRPr="00C40B61">
        <w:rPr>
          <w:rFonts w:ascii="Adobe Garamond Pro" w:hAnsi="Adobe Garamond Pro" w:cs="Arial"/>
          <w:i/>
          <w:iCs/>
          <w:noProof/>
          <w:szCs w:val="24"/>
        </w:rPr>
        <w:t>Jurnal Ilmiah Mahasiswa AGROINFO GALUH</w:t>
      </w:r>
      <w:r w:rsidRPr="00C40B61">
        <w:rPr>
          <w:rFonts w:ascii="Adobe Garamond Pro" w:hAnsi="Adobe Garamond Pro" w:cs="Arial"/>
          <w:noProof/>
          <w:szCs w:val="24"/>
        </w:rPr>
        <w:t xml:space="preserve"> 11(1):998–1009. doi:10.21608/pshj.2022.250026.</w:t>
      </w:r>
    </w:p>
    <w:p w14:paraId="20C9C072"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Putri, Chairunnisa Rahmawati, Nugroho Arimuljarto, Asep Alipudin, and Rino Indira Gusniawan. 2025. “Studi Kelayakan Usaha Kuliner Studi Kasus Pada Usaha Room Coffee and Eatery Di Kabupaten Bogor.” </w:t>
      </w:r>
      <w:r w:rsidRPr="00C40B61">
        <w:rPr>
          <w:rFonts w:ascii="Adobe Garamond Pro" w:hAnsi="Adobe Garamond Pro" w:cs="Arial"/>
          <w:i/>
          <w:iCs/>
          <w:noProof/>
          <w:szCs w:val="24"/>
        </w:rPr>
        <w:t>Jurnal Manajemen Pratama</w:t>
      </w:r>
      <w:r w:rsidRPr="00C40B61">
        <w:rPr>
          <w:rFonts w:ascii="Adobe Garamond Pro" w:hAnsi="Adobe Garamond Pro" w:cs="Arial"/>
          <w:noProof/>
          <w:szCs w:val="24"/>
        </w:rPr>
        <w:t xml:space="preserve"> 2(1).</w:t>
      </w:r>
    </w:p>
    <w:p w14:paraId="76E89639"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Putri, Heni Julaika, and Sri Murhayati. 2022. “Metode Pengumpulan Data Kualitatif.” </w:t>
      </w:r>
      <w:r w:rsidRPr="00C40B61">
        <w:rPr>
          <w:rFonts w:ascii="Adobe Garamond Pro" w:hAnsi="Adobe Garamond Pro" w:cs="Arial"/>
          <w:i/>
          <w:iCs/>
          <w:noProof/>
          <w:szCs w:val="24"/>
        </w:rPr>
        <w:t>Jurnal Pendidikan Tambusa</w:t>
      </w:r>
      <w:r w:rsidRPr="00C40B61">
        <w:rPr>
          <w:rFonts w:ascii="Adobe Garamond Pro" w:hAnsi="Adobe Garamond Pro" w:cs="Arial"/>
          <w:noProof/>
          <w:szCs w:val="24"/>
        </w:rPr>
        <w:t xml:space="preserve"> 9(01):1–6. https://jptam.org/index.php/jptam/article/view/27063/18482.</w:t>
      </w:r>
    </w:p>
    <w:p w14:paraId="53D80D7B"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Rahmawati, Meylin, Sulistya Rini Prastiwi, Kartini, Rizky Agusriyanti Ima, Ferica C. Putri, and Yohanna Thresia Nainggolan. 2023. “Kelayakan Finansial Dan Nilai Tambah Produk Olahan Ikan (Amplang Kuku Macan Al- Izza).” </w:t>
      </w:r>
      <w:r w:rsidRPr="00C40B61">
        <w:rPr>
          <w:rFonts w:ascii="Adobe Garamond Pro" w:hAnsi="Adobe Garamond Pro" w:cs="Arial"/>
          <w:i/>
          <w:iCs/>
          <w:noProof/>
          <w:szCs w:val="24"/>
        </w:rPr>
        <w:t>Studi Islam Dan Humaniora</w:t>
      </w:r>
      <w:r w:rsidRPr="00C40B61">
        <w:rPr>
          <w:rFonts w:ascii="Adobe Garamond Pro" w:hAnsi="Adobe Garamond Pro" w:cs="Arial"/>
          <w:noProof/>
          <w:szCs w:val="24"/>
        </w:rPr>
        <w:t xml:space="preserve"> 3(2):200–209.</w:t>
      </w:r>
    </w:p>
    <w:p w14:paraId="2289FC6E"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Rahmidilla, Saida Ramlah, Siti Maisyarah, Faizah, and Muhammad Firliadi Noor Salim. 2024. “Analisis Usaha Pada Keripik Singkong Raihanah Di Kabupaten Hulu Sungai Selatan, Kalimantan Selatan Ditinjau Dari Aspek Pemasaran, Teknis Dan Operasional.” </w:t>
      </w:r>
      <w:r w:rsidRPr="00C40B61">
        <w:rPr>
          <w:rFonts w:ascii="Adobe Garamond Pro" w:hAnsi="Adobe Garamond Pro" w:cs="Arial"/>
          <w:i/>
          <w:iCs/>
          <w:noProof/>
          <w:szCs w:val="24"/>
        </w:rPr>
        <w:t>Wawasan</w:t>
      </w:r>
      <w:r w:rsidRPr="00C40B61">
        <w:rPr>
          <w:rFonts w:ascii="Times New Roman" w:hAnsi="Times New Roman" w:cs="Times New Roman"/>
          <w:i/>
          <w:iCs/>
          <w:noProof/>
          <w:szCs w:val="24"/>
        </w:rPr>
        <w:t> </w:t>
      </w:r>
      <w:r w:rsidRPr="00C40B61">
        <w:rPr>
          <w:rFonts w:ascii="Adobe Garamond Pro" w:hAnsi="Adobe Garamond Pro" w:cs="Arial"/>
          <w:i/>
          <w:iCs/>
          <w:noProof/>
          <w:szCs w:val="24"/>
        </w:rPr>
        <w:t>: Jurnal Ilmu Manajemen, Ekonomi Dan Kewirausahaan</w:t>
      </w:r>
      <w:r w:rsidRPr="00C40B61">
        <w:rPr>
          <w:rFonts w:ascii="Adobe Garamond Pro" w:hAnsi="Adobe Garamond Pro" w:cs="Arial"/>
          <w:noProof/>
          <w:szCs w:val="24"/>
        </w:rPr>
        <w:t xml:space="preserve"> 3(1):166–75. doi:10.58192/wawasan.v3i1.2863.</w:t>
      </w:r>
    </w:p>
    <w:p w14:paraId="22A5CC26"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Riantisari, Rahmawati, Alfiati Nurrokhmini, and Noviadry Nur Tamtama. 2024. “Analisis Studi Kelayakan Bisnis Pada CV. Gema Nusa Klaten Jawa Tengah.” </w:t>
      </w:r>
      <w:r w:rsidRPr="00C40B61">
        <w:rPr>
          <w:rFonts w:ascii="Adobe Garamond Pro" w:hAnsi="Adobe Garamond Pro" w:cs="Arial"/>
          <w:i/>
          <w:iCs/>
          <w:noProof/>
          <w:szCs w:val="24"/>
        </w:rPr>
        <w:t>ECo-Fin</w:t>
      </w:r>
      <w:r w:rsidRPr="00C40B61">
        <w:rPr>
          <w:rFonts w:ascii="Adobe Garamond Pro" w:hAnsi="Adobe Garamond Pro" w:cs="Arial"/>
          <w:noProof/>
          <w:szCs w:val="24"/>
        </w:rPr>
        <w:t xml:space="preserve"> 6(2):249–57. doi:10.32877/ef.v6i2.1366.</w:t>
      </w:r>
    </w:p>
    <w:p w14:paraId="4D958C85"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Rifaldi, Muhammad, Sri Hartati, and Muhammad A. Vajriansyah. 2024. “Strategi Pemasaran Digital Untuk Meningkatkan Brand Awareness Di Era E-Commerce.” </w:t>
      </w:r>
      <w:r w:rsidRPr="00C40B61">
        <w:rPr>
          <w:rFonts w:ascii="Adobe Garamond Pro" w:hAnsi="Adobe Garamond Pro" w:cs="Arial"/>
          <w:i/>
          <w:iCs/>
          <w:noProof/>
          <w:szCs w:val="24"/>
        </w:rPr>
        <w:t>Jurnal Riset Manajemen Dan Ekonomi (Jrime)</w:t>
      </w:r>
      <w:r w:rsidRPr="00C40B61">
        <w:rPr>
          <w:rFonts w:ascii="Adobe Garamond Pro" w:hAnsi="Adobe Garamond Pro" w:cs="Arial"/>
          <w:noProof/>
          <w:szCs w:val="24"/>
        </w:rPr>
        <w:t xml:space="preserve"> 3(1):58–65. doi:10.54066/jrime-itb.v3i1.2790.</w:t>
      </w:r>
    </w:p>
    <w:p w14:paraId="7D3CA56D"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Ritonga, Khairunnisa, and Abdul Rasyid. 2025. “Strategi Pemanfaatan Media Instagram Sebagai Media Promosi Kuliner Pada Akun @Kepdan_Kopi.” </w:t>
      </w:r>
      <w:r w:rsidRPr="00C40B61">
        <w:rPr>
          <w:rFonts w:ascii="Adobe Garamond Pro" w:hAnsi="Adobe Garamond Pro" w:cs="Arial"/>
          <w:i/>
          <w:iCs/>
          <w:noProof/>
          <w:szCs w:val="24"/>
        </w:rPr>
        <w:t>MUKASI: Jurnal Ilmu Komunikasi</w:t>
      </w:r>
      <w:r w:rsidRPr="00C40B61">
        <w:rPr>
          <w:rFonts w:ascii="Adobe Garamond Pro" w:hAnsi="Adobe Garamond Pro" w:cs="Arial"/>
          <w:noProof/>
          <w:szCs w:val="24"/>
        </w:rPr>
        <w:t xml:space="preserve"> 4(2):341–51. </w:t>
      </w:r>
      <w:r w:rsidRPr="00C40B61">
        <w:rPr>
          <w:rFonts w:ascii="Adobe Garamond Pro" w:hAnsi="Adobe Garamond Pro" w:cs="Arial"/>
          <w:noProof/>
          <w:szCs w:val="24"/>
        </w:rPr>
        <w:lastRenderedPageBreak/>
        <w:t>doi:10.54259/mukasi.v4i2.4355.</w:t>
      </w:r>
    </w:p>
    <w:p w14:paraId="1AA34202"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Sabahannur, St, and Rasmeidah Rasyid. 2023. “Amplang Latber.” </w:t>
      </w:r>
      <w:r w:rsidRPr="00C40B61">
        <w:rPr>
          <w:rFonts w:ascii="Adobe Garamond Pro" w:hAnsi="Adobe Garamond Pro" w:cs="Arial"/>
          <w:i/>
          <w:iCs/>
          <w:noProof/>
          <w:szCs w:val="24"/>
        </w:rPr>
        <w:t>Jurnal Ilmiah Agribisnis</w:t>
      </w:r>
      <w:r w:rsidRPr="00C40B61">
        <w:rPr>
          <w:rFonts w:ascii="Adobe Garamond Pro" w:hAnsi="Adobe Garamond Pro" w:cs="Arial"/>
          <w:noProof/>
          <w:szCs w:val="24"/>
        </w:rPr>
        <w:t xml:space="preserve"> 6(1).</w:t>
      </w:r>
    </w:p>
    <w:p w14:paraId="04280080"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Safitri, Vira, Nurul Kamila, Tiara Nopitasari, Asfya Nafisa Dewi, and Siti Ajijah. 2024. “Literature Riview</w:t>
      </w:r>
      <w:r w:rsidRPr="00C40B61">
        <w:rPr>
          <w:rFonts w:ascii="Times New Roman" w:hAnsi="Times New Roman" w:cs="Times New Roman"/>
          <w:noProof/>
          <w:szCs w:val="24"/>
        </w:rPr>
        <w:t> </w:t>
      </w:r>
      <w:r w:rsidRPr="00C40B61">
        <w:rPr>
          <w:rFonts w:ascii="Adobe Garamond Pro" w:hAnsi="Adobe Garamond Pro" w:cs="Arial"/>
          <w:noProof/>
          <w:szCs w:val="24"/>
        </w:rPr>
        <w:t xml:space="preserve">: Strategi Pemasaran PT . Indofood Sukses Makmur Tbk.” </w:t>
      </w:r>
      <w:r w:rsidRPr="00C40B61">
        <w:rPr>
          <w:rFonts w:ascii="Adobe Garamond Pro" w:hAnsi="Adobe Garamond Pro" w:cs="Arial"/>
          <w:i/>
          <w:iCs/>
          <w:noProof/>
          <w:szCs w:val="24"/>
        </w:rPr>
        <w:t>Senmabis - Seminar Nasional Manajemen Dan Bisnis</w:t>
      </w:r>
      <w:r w:rsidRPr="00C40B61">
        <w:rPr>
          <w:rFonts w:ascii="Adobe Garamond Pro" w:hAnsi="Adobe Garamond Pro" w:cs="Arial"/>
          <w:noProof/>
          <w:szCs w:val="24"/>
        </w:rPr>
        <w:t xml:space="preserve"> 4789:1–7.</w:t>
      </w:r>
    </w:p>
    <w:p w14:paraId="0DA7E3B4"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Samanta, Pinky Natalia, Fenny Crista, Anastasia Panjaitan, and Gede Agus Surya. 2023. “Business Feasibility Analysis of Shredded Layang Fish ( Decapterus ) at Thanko Shredded Fish Msmes.” </w:t>
      </w:r>
      <w:r w:rsidRPr="00C40B61">
        <w:rPr>
          <w:rFonts w:ascii="Adobe Garamond Pro" w:hAnsi="Adobe Garamond Pro" w:cs="Arial"/>
          <w:i/>
          <w:iCs/>
          <w:noProof/>
          <w:szCs w:val="24"/>
        </w:rPr>
        <w:t>East Asian Journal of Multidisciplinary Research (EAJMR)</w:t>
      </w:r>
      <w:r w:rsidRPr="00C40B61">
        <w:rPr>
          <w:rFonts w:ascii="Adobe Garamond Pro" w:hAnsi="Adobe Garamond Pro" w:cs="Arial"/>
          <w:noProof/>
          <w:szCs w:val="24"/>
        </w:rPr>
        <w:t xml:space="preserve"> 2(3):1209–18.</w:t>
      </w:r>
    </w:p>
    <w:p w14:paraId="7CD72284"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Sanjaya, Tendy Dwi, Said Abdusysyahid, and Etik Sulistiowati Ningsih. 2025. “Analisis Strategi Pemasaran Produk Amplang Ikan Tenggiri Di PT. Bontings Manggar Baru Kecamatan Balikpapan Timur Kota Balikpapan.” </w:t>
      </w:r>
      <w:r w:rsidRPr="00C40B61">
        <w:rPr>
          <w:rFonts w:ascii="Adobe Garamond Pro" w:hAnsi="Adobe Garamond Pro" w:cs="Arial"/>
          <w:i/>
          <w:iCs/>
          <w:noProof/>
          <w:szCs w:val="24"/>
        </w:rPr>
        <w:t>Prosiding Seminar Nasional Sosial, Humaniora, Dan Teknologi</w:t>
      </w:r>
      <w:r w:rsidRPr="00C40B61">
        <w:rPr>
          <w:rFonts w:ascii="Adobe Garamond Pro" w:hAnsi="Adobe Garamond Pro" w:cs="Arial"/>
          <w:noProof/>
          <w:szCs w:val="24"/>
        </w:rPr>
        <w:t xml:space="preserve"> 3(1):1085–90.</w:t>
      </w:r>
    </w:p>
    <w:p w14:paraId="64540FA5"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Sekaran, Uma, and Bougie. 2016. “Aekies,+Journal+manager,+203-206.” </w:t>
      </w:r>
      <w:r w:rsidRPr="00C40B61">
        <w:rPr>
          <w:rFonts w:ascii="Adobe Garamond Pro" w:hAnsi="Adobe Garamond Pro" w:cs="Arial"/>
          <w:i/>
          <w:iCs/>
          <w:noProof/>
          <w:szCs w:val="24"/>
        </w:rPr>
        <w:t>Academic Journal BangkokThonburi University</w:t>
      </w:r>
      <w:r w:rsidRPr="00C40B61">
        <w:rPr>
          <w:rFonts w:ascii="Adobe Garamond Pro" w:hAnsi="Adobe Garamond Pro" w:cs="Arial"/>
          <w:noProof/>
          <w:szCs w:val="24"/>
        </w:rPr>
        <w:t xml:space="preserve"> 2(2):203–4.</w:t>
      </w:r>
    </w:p>
    <w:p w14:paraId="07E92A26"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Setiawan, Rafi Azka, and Jelan Taufiq. 2025. “Dari Dapur Ke Dunia Maya: Strategi Komunikasi.” 56:1684–92.</w:t>
      </w:r>
    </w:p>
    <w:p w14:paraId="1702BB4A"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Setiawati, Erni. 2018. “Analisis Profit Maksimum Usaha Amplang UD. Taufik Jaya Makmur Samarinda.” </w:t>
      </w:r>
      <w:r w:rsidRPr="00C40B61">
        <w:rPr>
          <w:rFonts w:ascii="Adobe Garamond Pro" w:hAnsi="Adobe Garamond Pro" w:cs="Arial"/>
          <w:i/>
          <w:iCs/>
          <w:noProof/>
          <w:szCs w:val="24"/>
        </w:rPr>
        <w:t>Jurnal Ilmu Ekonomi Mulawarman (JIEM)</w:t>
      </w:r>
      <w:r w:rsidRPr="00C40B61">
        <w:rPr>
          <w:rFonts w:ascii="Adobe Garamond Pro" w:hAnsi="Adobe Garamond Pro" w:cs="Arial"/>
          <w:noProof/>
          <w:szCs w:val="24"/>
        </w:rPr>
        <w:t xml:space="preserve"> Vol. 3(4):1–14.</w:t>
      </w:r>
    </w:p>
    <w:p w14:paraId="5ED7C44C"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Surahman, Surahman, Sugeng Hariyadi, Bela Barus, Hendrik Batoteng, Adestya Rahmadhani, Wulan Nur Aisyayah, Aulia Oktaviani Pustpita, and Nadya Febrianti. 2025. “Digital Transformation for MSMEs: Boosting Sales through e-Commerce and Social Media.” </w:t>
      </w:r>
      <w:r w:rsidRPr="00C40B61">
        <w:rPr>
          <w:rFonts w:ascii="Adobe Garamond Pro" w:hAnsi="Adobe Garamond Pro" w:cs="Arial"/>
          <w:i/>
          <w:iCs/>
          <w:noProof/>
          <w:szCs w:val="24"/>
        </w:rPr>
        <w:t>Community Empowerment</w:t>
      </w:r>
      <w:r w:rsidRPr="00C40B61">
        <w:rPr>
          <w:rFonts w:ascii="Adobe Garamond Pro" w:hAnsi="Adobe Garamond Pro" w:cs="Arial"/>
          <w:noProof/>
          <w:szCs w:val="24"/>
        </w:rPr>
        <w:t xml:space="preserve"> 10(6):1349–57. doi:10.31603/ce.13099.</w:t>
      </w:r>
    </w:p>
    <w:p w14:paraId="16927D37"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Susanti, Hany, and Ugy Soebiantoro. 2024. “Optimalisasi Penggunaan Instagram Dan Facebook Sebagai Media Promosi Pada Bisnis Segobowel.” 10(19):394–402.</w:t>
      </w:r>
    </w:p>
    <w:p w14:paraId="0CDA6626"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Tanjung, Rahmad Fachreza, and Asmaul Husna. 2025. “Pengaruh Sistem Informasi Akuntasi Dan Human Capital Terhadap Pengelolaan Pada UMKM.” </w:t>
      </w:r>
      <w:r w:rsidRPr="00C40B61">
        <w:rPr>
          <w:rFonts w:ascii="Adobe Garamond Pro" w:hAnsi="Adobe Garamond Pro" w:cs="Arial"/>
          <w:i/>
          <w:iCs/>
          <w:noProof/>
          <w:szCs w:val="24"/>
        </w:rPr>
        <w:t>JEMSI (Jurnal Ekonomi, Manajemen, Dan Akuntansi)</w:t>
      </w:r>
      <w:r w:rsidRPr="00C40B61">
        <w:rPr>
          <w:rFonts w:ascii="Adobe Garamond Pro" w:hAnsi="Adobe Garamond Pro" w:cs="Arial"/>
          <w:noProof/>
          <w:szCs w:val="24"/>
        </w:rPr>
        <w:t xml:space="preserve"> 11(3):1920–27. https://journal.lembagakita.org/index.php/jemsihttps://doi.org/10.35870/jemsi.v11i3.4229.</w:t>
      </w:r>
    </w:p>
    <w:p w14:paraId="318D7801"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szCs w:val="24"/>
        </w:rPr>
      </w:pPr>
      <w:r w:rsidRPr="00C40B61">
        <w:rPr>
          <w:rFonts w:ascii="Adobe Garamond Pro" w:hAnsi="Adobe Garamond Pro" w:cs="Arial"/>
          <w:noProof/>
          <w:szCs w:val="24"/>
        </w:rPr>
        <w:t xml:space="preserve">Taufik, RR Kurniawan; M. Putri; M. Safira; DA Fransiska; I. 2023. “Business Feasibility Analysis in the Establishment Ofa Cafe.” </w:t>
      </w:r>
      <w:r w:rsidRPr="00C40B61">
        <w:rPr>
          <w:rFonts w:ascii="Adobe Garamond Pro" w:hAnsi="Adobe Garamond Pro" w:cs="Arial"/>
          <w:i/>
          <w:iCs/>
          <w:noProof/>
          <w:szCs w:val="24"/>
        </w:rPr>
        <w:t>… International Seminar of …</w:t>
      </w:r>
      <w:r w:rsidRPr="00C40B61">
        <w:rPr>
          <w:rFonts w:ascii="Adobe Garamond Pro" w:hAnsi="Adobe Garamond Pro" w:cs="Arial"/>
          <w:noProof/>
          <w:szCs w:val="24"/>
        </w:rPr>
        <w:t xml:space="preserve"> 4:1217–21.</w:t>
      </w:r>
    </w:p>
    <w:p w14:paraId="1B417AAF" w14:textId="77777777" w:rsidR="00C40B61" w:rsidRPr="00C40B61" w:rsidRDefault="00C40B61" w:rsidP="00C40B61">
      <w:pPr>
        <w:widowControl w:val="0"/>
        <w:autoSpaceDE w:val="0"/>
        <w:autoSpaceDN w:val="0"/>
        <w:adjustRightInd w:val="0"/>
        <w:spacing w:after="0" w:line="360" w:lineRule="auto"/>
        <w:ind w:left="480" w:hanging="480"/>
        <w:jc w:val="both"/>
        <w:rPr>
          <w:rFonts w:ascii="Adobe Garamond Pro" w:hAnsi="Adobe Garamond Pro" w:cs="Arial"/>
          <w:noProof/>
        </w:rPr>
      </w:pPr>
      <w:r w:rsidRPr="00C40B61">
        <w:rPr>
          <w:rFonts w:ascii="Adobe Garamond Pro" w:hAnsi="Adobe Garamond Pro" w:cs="Arial"/>
          <w:noProof/>
          <w:szCs w:val="24"/>
        </w:rPr>
        <w:t xml:space="preserve">Tresnawati, Yuni, and Kurniawan Prasetyo. 2018. “Pemetaan Konten Promosi Digital Bisnis Kuliner Kika ’ s Catering Di Media Sosial Mapping The Content of Digital Promotion For Culinary Business Kika ’ s Catering on Social Media.” </w:t>
      </w:r>
      <w:r w:rsidRPr="00C40B61">
        <w:rPr>
          <w:rFonts w:ascii="Adobe Garamond Pro" w:hAnsi="Adobe Garamond Pro" w:cs="Arial"/>
          <w:i/>
          <w:iCs/>
          <w:noProof/>
          <w:szCs w:val="24"/>
        </w:rPr>
        <w:t>Profesi Humas</w:t>
      </w:r>
      <w:r w:rsidRPr="00C40B61">
        <w:rPr>
          <w:rFonts w:ascii="Adobe Garamond Pro" w:hAnsi="Adobe Garamond Pro" w:cs="Arial"/>
          <w:noProof/>
          <w:szCs w:val="24"/>
        </w:rPr>
        <w:t xml:space="preserve"> 3(1):102–19.</w:t>
      </w:r>
    </w:p>
    <w:p w14:paraId="3252D557" w14:textId="6CC664B9" w:rsidR="00785B93" w:rsidRPr="00C40B61" w:rsidRDefault="00C40B61" w:rsidP="00C40B61">
      <w:pPr>
        <w:tabs>
          <w:tab w:val="left" w:pos="360"/>
        </w:tabs>
        <w:spacing w:after="0" w:line="360" w:lineRule="auto"/>
        <w:ind w:left="360" w:hanging="360"/>
        <w:jc w:val="both"/>
        <w:rPr>
          <w:rFonts w:ascii="Adobe Garamond Pro" w:hAnsi="Adobe Garamond Pro" w:cs="Arial"/>
          <w:b/>
          <w:color w:val="0070C0"/>
        </w:rPr>
      </w:pPr>
      <w:r w:rsidRPr="00C40B61">
        <w:rPr>
          <w:rFonts w:ascii="Adobe Garamond Pro" w:hAnsi="Adobe Garamond Pro" w:cs="Arial"/>
          <w:b/>
          <w:color w:val="0070C0"/>
        </w:rPr>
        <w:fldChar w:fldCharType="end"/>
      </w:r>
    </w:p>
    <w:sectPr w:rsidR="00785B93" w:rsidRPr="00C40B61">
      <w:headerReference w:type="default" r:id="rId14"/>
      <w:pgSz w:w="11907" w:h="16840"/>
      <w:pgMar w:top="1701" w:right="1418" w:bottom="1418" w:left="1418" w:header="1077" w:footer="1134" w:gutter="0"/>
      <w:pgNumType w:start="2"/>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DA450" w14:textId="77777777" w:rsidR="005D1F13" w:rsidRDefault="005D1F13">
      <w:pPr>
        <w:spacing w:line="240" w:lineRule="auto"/>
      </w:pPr>
      <w:r>
        <w:separator/>
      </w:r>
    </w:p>
  </w:endnote>
  <w:endnote w:type="continuationSeparator" w:id="0">
    <w:p w14:paraId="43E514C4" w14:textId="77777777" w:rsidR="005D1F13" w:rsidRDefault="005D1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9B67" w14:textId="77777777" w:rsidR="00A67F58" w:rsidRDefault="00A67F58">
    <w:pPr>
      <w:pStyle w:val="Footer"/>
    </w:pPr>
  </w:p>
  <w:p w14:paraId="39756BCA" w14:textId="09264DFF" w:rsidR="00A67F58" w:rsidRDefault="00825BC7">
    <w:pPr>
      <w:pStyle w:val="Footer"/>
      <w:rPr>
        <w:i/>
      </w:rPr>
    </w:pPr>
    <w:r>
      <w:rPr>
        <w:i/>
      </w:rPr>
      <w:t xml:space="preserve">Initial manuscript submitted to </w:t>
    </w:r>
    <w:r w:rsidR="00DC3EFC">
      <w:rPr>
        <w:i/>
      </w:rPr>
      <w:t>JCER</w:t>
    </w:r>
    <w:r w:rsidR="005500F4">
      <w:rPr>
        <w:i/>
      </w:rPr>
      <w:t>:</w:t>
    </w:r>
    <w:r w:rsidR="00DC3EFC">
      <w:rPr>
        <w:i/>
      </w:rPr>
      <w:t xml:space="preserve"> The</w:t>
    </w:r>
    <w:r w:rsidR="005500F4">
      <w:rPr>
        <w:i/>
      </w:rPr>
      <w:t xml:space="preserve"> </w:t>
    </w:r>
    <w:r>
      <w:rPr>
        <w:i/>
      </w:rPr>
      <w:t xml:space="preserve">Journal of </w:t>
    </w:r>
    <w:r w:rsidR="00DC3EFC">
      <w:rPr>
        <w:i/>
      </w:rPr>
      <w:t>Contemporary Entrepreneurship Research</w:t>
    </w:r>
    <w:r>
      <w:rPr>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AFFC1" w14:textId="77777777" w:rsidR="005D1F13" w:rsidRDefault="005D1F13">
      <w:pPr>
        <w:spacing w:after="0"/>
      </w:pPr>
      <w:r>
        <w:separator/>
      </w:r>
    </w:p>
  </w:footnote>
  <w:footnote w:type="continuationSeparator" w:id="0">
    <w:p w14:paraId="56A7ACE6" w14:textId="77777777" w:rsidR="005D1F13" w:rsidRDefault="005D1F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0D65" w14:textId="77777777" w:rsidR="00A67F58" w:rsidRDefault="00825BC7">
    <w:pPr>
      <w:pStyle w:val="Header"/>
      <w:tabs>
        <w:tab w:val="clear" w:pos="4680"/>
        <w:tab w:val="clear" w:pos="9360"/>
        <w:tab w:val="right" w:pos="9071"/>
      </w:tabs>
      <w:rPr>
        <w:rFonts w:cstheme="minorHAnsi"/>
      </w:rPr>
    </w:pPr>
    <w:r>
      <w:rPr>
        <w:rFonts w:cstheme="minorHAnsi"/>
      </w:rPr>
      <w:t>Journal of Indonesian Economy and Business</w:t>
    </w:r>
    <w:r>
      <w:rPr>
        <w:rFonts w:cstheme="minorHAnsi"/>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3064" w14:textId="5E52BA62" w:rsidR="00A67F58" w:rsidRDefault="00DC3EFC">
    <w:pPr>
      <w:pStyle w:val="Header"/>
      <w:tabs>
        <w:tab w:val="clear" w:pos="9360"/>
        <w:tab w:val="right" w:pos="9071"/>
      </w:tabs>
      <w:ind w:left="180"/>
      <w:rPr>
        <w:rFonts w:asciiTheme="majorHAnsi" w:hAnsiTheme="majorHAnsi"/>
      </w:rPr>
    </w:pPr>
    <w:r w:rsidRPr="00984CF1">
      <w:rPr>
        <w:rFonts w:asciiTheme="majorHAnsi" w:hAnsiTheme="majorHAnsi"/>
        <w:i/>
      </w:rPr>
      <w:t>JCER</w:t>
    </w:r>
    <w:r w:rsidR="00ED544A" w:rsidRPr="00984CF1">
      <w:rPr>
        <w:rFonts w:asciiTheme="majorHAnsi" w:hAnsiTheme="majorHAnsi"/>
        <w:i/>
      </w:rPr>
      <w:t>:</w:t>
    </w:r>
    <w:r w:rsidRPr="00984CF1">
      <w:rPr>
        <w:rFonts w:asciiTheme="majorHAnsi" w:hAnsiTheme="majorHAnsi"/>
        <w:i/>
      </w:rPr>
      <w:t xml:space="preserve"> The </w:t>
    </w:r>
    <w:r w:rsidR="00ED544A" w:rsidRPr="00984CF1">
      <w:rPr>
        <w:rFonts w:asciiTheme="majorHAnsi" w:hAnsiTheme="majorHAnsi"/>
        <w:i/>
      </w:rPr>
      <w:t xml:space="preserve"> </w:t>
    </w:r>
    <w:r w:rsidR="00825BC7" w:rsidRPr="00984CF1">
      <w:rPr>
        <w:rFonts w:asciiTheme="majorHAnsi" w:hAnsiTheme="majorHAnsi"/>
        <w:i/>
      </w:rPr>
      <w:t xml:space="preserve">Journal </w:t>
    </w:r>
    <w:r w:rsidR="00ED544A" w:rsidRPr="00984CF1">
      <w:rPr>
        <w:rFonts w:asciiTheme="majorHAnsi" w:hAnsiTheme="majorHAnsi"/>
        <w:i/>
      </w:rPr>
      <w:t xml:space="preserve">of </w:t>
    </w:r>
    <w:r w:rsidRPr="00984CF1">
      <w:rPr>
        <w:rFonts w:asciiTheme="majorHAnsi" w:hAnsiTheme="majorHAnsi"/>
        <w:i/>
      </w:rPr>
      <w:t>Contemporary Entrepreneurhsip Research</w:t>
    </w:r>
    <w:r w:rsidR="00825BC7">
      <w:rPr>
        <w:rFonts w:asciiTheme="majorHAnsi" w:hAnsiTheme="majorHAnsi"/>
      </w:rPr>
      <w:tab/>
      <w:t xml:space="preserve"> </w:t>
    </w:r>
    <w:r w:rsidR="00825BC7">
      <w:rPr>
        <w:rFonts w:asciiTheme="majorHAnsi" w:hAnsiTheme="majorHAnsi"/>
        <w:b/>
      </w:rPr>
      <w:t>Initial manuscript submission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549F" w14:textId="4657812A" w:rsidR="00A67F58" w:rsidRDefault="00DC3EFC">
    <w:pPr>
      <w:pStyle w:val="Header"/>
      <w:tabs>
        <w:tab w:val="clear" w:pos="9360"/>
        <w:tab w:val="right" w:pos="9071"/>
      </w:tabs>
      <w:rPr>
        <w:b/>
        <w:i/>
      </w:rPr>
    </w:pPr>
    <w:r w:rsidRPr="00984CF1">
      <w:rPr>
        <w:rFonts w:asciiTheme="majorHAnsi" w:hAnsiTheme="majorHAnsi"/>
        <w:b/>
        <w:bCs/>
        <w:i/>
      </w:rPr>
      <w:t>JCER: The  Journal of Contemporary Entrepreneurhsip Research</w:t>
    </w:r>
    <w:r w:rsidR="00825BC7" w:rsidRPr="00984CF1">
      <w:rPr>
        <w:b/>
        <w:i/>
      </w:rPr>
      <w:tab/>
    </w:r>
    <w:r w:rsidR="00825BC7">
      <w:rPr>
        <w:b/>
        <w:i/>
      </w:rPr>
      <w:fldChar w:fldCharType="begin"/>
    </w:r>
    <w:r w:rsidR="00825BC7">
      <w:rPr>
        <w:b/>
        <w:i/>
      </w:rPr>
      <w:instrText xml:space="preserve"> PAGE   \* MERGEFORMAT </w:instrText>
    </w:r>
    <w:r w:rsidR="00825BC7">
      <w:rPr>
        <w:b/>
        <w:i/>
      </w:rPr>
      <w:fldChar w:fldCharType="separate"/>
    </w:r>
    <w:r w:rsidR="0089054A">
      <w:rPr>
        <w:b/>
        <w:i/>
        <w:noProof/>
      </w:rPr>
      <w:t>6</w:t>
    </w:r>
    <w:r w:rsidR="00825BC7">
      <w:rPr>
        <w:b/>
        <w:i/>
      </w:rPr>
      <w:fldChar w:fldCharType="end"/>
    </w:r>
    <w:r w:rsidR="00825BC7">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25F3A"/>
    <w:multiLevelType w:val="multilevel"/>
    <w:tmpl w:val="64720738"/>
    <w:lvl w:ilvl="0">
      <w:start w:val="1"/>
      <w:numFmt w:val="decimal"/>
      <w:pStyle w:val="EkomabisJudulSub"/>
      <w:lvlText w:val="%1."/>
      <w:lvlJc w:val="left"/>
      <w:pPr>
        <w:ind w:left="360" w:hanging="360"/>
      </w:pPr>
      <w:rPr>
        <w:rFonts w:ascii="Book Antiqua" w:hAnsi="Book Antiqua"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145251A7"/>
    <w:multiLevelType w:val="hybridMultilevel"/>
    <w:tmpl w:val="90BAA37A"/>
    <w:lvl w:ilvl="0" w:tplc="140EE0AC">
      <w:start w:val="1"/>
      <w:numFmt w:val="decimal"/>
      <w:pStyle w:val="EkomabisJudulSub2"/>
      <w:lvlText w:val="2.%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691024"/>
    <w:multiLevelType w:val="multilevel"/>
    <w:tmpl w:val="2B69102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28D7E3F"/>
    <w:multiLevelType w:val="multilevel"/>
    <w:tmpl w:val="5F000B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i/>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375CBA"/>
    <w:multiLevelType w:val="hybridMultilevel"/>
    <w:tmpl w:val="8ED03532"/>
    <w:lvl w:ilvl="0" w:tplc="2D52069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3C1392"/>
    <w:multiLevelType w:val="multilevel"/>
    <w:tmpl w:val="563C13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B4569D9"/>
    <w:multiLevelType w:val="multilevel"/>
    <w:tmpl w:val="7B4569D9"/>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33134300">
    <w:abstractNumId w:val="6"/>
  </w:num>
  <w:num w:numId="2" w16cid:durableId="1398555511">
    <w:abstractNumId w:val="5"/>
  </w:num>
  <w:num w:numId="3" w16cid:durableId="1320157514">
    <w:abstractNumId w:val="3"/>
  </w:num>
  <w:num w:numId="4" w16cid:durableId="55402887">
    <w:abstractNumId w:val="2"/>
  </w:num>
  <w:num w:numId="5" w16cid:durableId="1548682387">
    <w:abstractNumId w:val="1"/>
  </w:num>
  <w:num w:numId="6" w16cid:durableId="989286400">
    <w:abstractNumId w:val="0"/>
  </w:num>
  <w:num w:numId="7" w16cid:durableId="832262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yMTQ2MTY2MzC0NDJS0lEKTi0uzszPAykwrAUAI2Q2PCwAAAA="/>
  </w:docVars>
  <w:rsids>
    <w:rsidRoot w:val="005650A4"/>
    <w:rsid w:val="000078C4"/>
    <w:rsid w:val="00021108"/>
    <w:rsid w:val="00025DB6"/>
    <w:rsid w:val="00063C62"/>
    <w:rsid w:val="000A42D7"/>
    <w:rsid w:val="000B2849"/>
    <w:rsid w:val="000B35C6"/>
    <w:rsid w:val="000C21B4"/>
    <w:rsid w:val="000D7C58"/>
    <w:rsid w:val="000E5900"/>
    <w:rsid w:val="001030F4"/>
    <w:rsid w:val="001051DE"/>
    <w:rsid w:val="00114C46"/>
    <w:rsid w:val="00136424"/>
    <w:rsid w:val="00145CC5"/>
    <w:rsid w:val="001571C4"/>
    <w:rsid w:val="001B70F5"/>
    <w:rsid w:val="001C3FDB"/>
    <w:rsid w:val="001E6D02"/>
    <w:rsid w:val="00212751"/>
    <w:rsid w:val="00216425"/>
    <w:rsid w:val="0021724C"/>
    <w:rsid w:val="002259AD"/>
    <w:rsid w:val="002544F2"/>
    <w:rsid w:val="00277062"/>
    <w:rsid w:val="00285A43"/>
    <w:rsid w:val="002A3249"/>
    <w:rsid w:val="002A7B2A"/>
    <w:rsid w:val="002D6599"/>
    <w:rsid w:val="002D7413"/>
    <w:rsid w:val="002E5034"/>
    <w:rsid w:val="00301E29"/>
    <w:rsid w:val="003159B5"/>
    <w:rsid w:val="003204D6"/>
    <w:rsid w:val="003249DF"/>
    <w:rsid w:val="00354D9D"/>
    <w:rsid w:val="0036502D"/>
    <w:rsid w:val="00375867"/>
    <w:rsid w:val="003C6A87"/>
    <w:rsid w:val="00424746"/>
    <w:rsid w:val="00437227"/>
    <w:rsid w:val="00443468"/>
    <w:rsid w:val="00447AD8"/>
    <w:rsid w:val="0045519C"/>
    <w:rsid w:val="00462A75"/>
    <w:rsid w:val="004753F5"/>
    <w:rsid w:val="0047797E"/>
    <w:rsid w:val="0049472D"/>
    <w:rsid w:val="004963B8"/>
    <w:rsid w:val="004A17AE"/>
    <w:rsid w:val="004C4076"/>
    <w:rsid w:val="004C537E"/>
    <w:rsid w:val="004D6876"/>
    <w:rsid w:val="004E3578"/>
    <w:rsid w:val="004F61D6"/>
    <w:rsid w:val="00501F68"/>
    <w:rsid w:val="005030F7"/>
    <w:rsid w:val="0050367E"/>
    <w:rsid w:val="0052005B"/>
    <w:rsid w:val="00523041"/>
    <w:rsid w:val="00524297"/>
    <w:rsid w:val="005245F8"/>
    <w:rsid w:val="0053391A"/>
    <w:rsid w:val="005347CA"/>
    <w:rsid w:val="00540B9F"/>
    <w:rsid w:val="00547A52"/>
    <w:rsid w:val="005500F4"/>
    <w:rsid w:val="005543F0"/>
    <w:rsid w:val="00556B46"/>
    <w:rsid w:val="005650A4"/>
    <w:rsid w:val="00581264"/>
    <w:rsid w:val="00583999"/>
    <w:rsid w:val="005A2492"/>
    <w:rsid w:val="005A51CD"/>
    <w:rsid w:val="005C13B0"/>
    <w:rsid w:val="005D1F13"/>
    <w:rsid w:val="005D5C2F"/>
    <w:rsid w:val="005D626C"/>
    <w:rsid w:val="005E1DC5"/>
    <w:rsid w:val="00613714"/>
    <w:rsid w:val="00617AF1"/>
    <w:rsid w:val="00646626"/>
    <w:rsid w:val="00675E55"/>
    <w:rsid w:val="00686CC0"/>
    <w:rsid w:val="006A1DDC"/>
    <w:rsid w:val="006A7CD3"/>
    <w:rsid w:val="006B0C76"/>
    <w:rsid w:val="006B65D5"/>
    <w:rsid w:val="006C389F"/>
    <w:rsid w:val="006C6FEA"/>
    <w:rsid w:val="006D633A"/>
    <w:rsid w:val="006E7A51"/>
    <w:rsid w:val="006F1B13"/>
    <w:rsid w:val="0071766A"/>
    <w:rsid w:val="00736C06"/>
    <w:rsid w:val="00761055"/>
    <w:rsid w:val="00765098"/>
    <w:rsid w:val="007672DE"/>
    <w:rsid w:val="00784947"/>
    <w:rsid w:val="00785B93"/>
    <w:rsid w:val="007A27E9"/>
    <w:rsid w:val="007D6383"/>
    <w:rsid w:val="007F3D15"/>
    <w:rsid w:val="007F3E68"/>
    <w:rsid w:val="007F4CCB"/>
    <w:rsid w:val="007F7253"/>
    <w:rsid w:val="007F76D7"/>
    <w:rsid w:val="00804B9A"/>
    <w:rsid w:val="00813B0C"/>
    <w:rsid w:val="00817C36"/>
    <w:rsid w:val="00820555"/>
    <w:rsid w:val="00825BC7"/>
    <w:rsid w:val="00833C0B"/>
    <w:rsid w:val="0083736A"/>
    <w:rsid w:val="0084297E"/>
    <w:rsid w:val="0087698A"/>
    <w:rsid w:val="0089054A"/>
    <w:rsid w:val="008A3621"/>
    <w:rsid w:val="008D6F09"/>
    <w:rsid w:val="008E0AE5"/>
    <w:rsid w:val="008F2153"/>
    <w:rsid w:val="008F6604"/>
    <w:rsid w:val="009020B5"/>
    <w:rsid w:val="00912837"/>
    <w:rsid w:val="009405AD"/>
    <w:rsid w:val="00950B06"/>
    <w:rsid w:val="00966762"/>
    <w:rsid w:val="00970644"/>
    <w:rsid w:val="009762AE"/>
    <w:rsid w:val="00984CF1"/>
    <w:rsid w:val="0099193E"/>
    <w:rsid w:val="009C0343"/>
    <w:rsid w:val="009C2E65"/>
    <w:rsid w:val="009C3891"/>
    <w:rsid w:val="009F7AED"/>
    <w:rsid w:val="00A3453D"/>
    <w:rsid w:val="00A44F9A"/>
    <w:rsid w:val="00A475B4"/>
    <w:rsid w:val="00A67F58"/>
    <w:rsid w:val="00A70A1E"/>
    <w:rsid w:val="00A73294"/>
    <w:rsid w:val="00A75746"/>
    <w:rsid w:val="00A86DD4"/>
    <w:rsid w:val="00AC538B"/>
    <w:rsid w:val="00AE0064"/>
    <w:rsid w:val="00AE1306"/>
    <w:rsid w:val="00AF6096"/>
    <w:rsid w:val="00B210F6"/>
    <w:rsid w:val="00B356A0"/>
    <w:rsid w:val="00B40987"/>
    <w:rsid w:val="00B67B0B"/>
    <w:rsid w:val="00B712B7"/>
    <w:rsid w:val="00B7756E"/>
    <w:rsid w:val="00B80FF1"/>
    <w:rsid w:val="00B830A2"/>
    <w:rsid w:val="00BB5818"/>
    <w:rsid w:val="00BD31BA"/>
    <w:rsid w:val="00C0416C"/>
    <w:rsid w:val="00C103E5"/>
    <w:rsid w:val="00C12DFC"/>
    <w:rsid w:val="00C17760"/>
    <w:rsid w:val="00C26FFB"/>
    <w:rsid w:val="00C40B61"/>
    <w:rsid w:val="00C450FE"/>
    <w:rsid w:val="00C7396C"/>
    <w:rsid w:val="00C92015"/>
    <w:rsid w:val="00CA1C6B"/>
    <w:rsid w:val="00CB3333"/>
    <w:rsid w:val="00CC11CD"/>
    <w:rsid w:val="00CD6A51"/>
    <w:rsid w:val="00CE2213"/>
    <w:rsid w:val="00CE6F01"/>
    <w:rsid w:val="00CE7F70"/>
    <w:rsid w:val="00CF7EC4"/>
    <w:rsid w:val="00D02753"/>
    <w:rsid w:val="00D02DBC"/>
    <w:rsid w:val="00D1243C"/>
    <w:rsid w:val="00D13B39"/>
    <w:rsid w:val="00D34E4D"/>
    <w:rsid w:val="00D623C7"/>
    <w:rsid w:val="00D74F25"/>
    <w:rsid w:val="00D825C9"/>
    <w:rsid w:val="00DA7AD6"/>
    <w:rsid w:val="00DC3EFC"/>
    <w:rsid w:val="00DD3E8A"/>
    <w:rsid w:val="00DD455D"/>
    <w:rsid w:val="00E410BF"/>
    <w:rsid w:val="00E453A1"/>
    <w:rsid w:val="00E505A6"/>
    <w:rsid w:val="00E628A0"/>
    <w:rsid w:val="00E63BD0"/>
    <w:rsid w:val="00E709A5"/>
    <w:rsid w:val="00E70EBC"/>
    <w:rsid w:val="00E75EBA"/>
    <w:rsid w:val="00E84806"/>
    <w:rsid w:val="00E95657"/>
    <w:rsid w:val="00EA2986"/>
    <w:rsid w:val="00EA4EC7"/>
    <w:rsid w:val="00EA6BFE"/>
    <w:rsid w:val="00EC0FE8"/>
    <w:rsid w:val="00EC7FE3"/>
    <w:rsid w:val="00ED544A"/>
    <w:rsid w:val="00EE1DFE"/>
    <w:rsid w:val="00EE3405"/>
    <w:rsid w:val="00F03310"/>
    <w:rsid w:val="00F146CE"/>
    <w:rsid w:val="00F320D5"/>
    <w:rsid w:val="00F355EB"/>
    <w:rsid w:val="00F441FD"/>
    <w:rsid w:val="00F51116"/>
    <w:rsid w:val="00F67B60"/>
    <w:rsid w:val="00F80500"/>
    <w:rsid w:val="00F820A4"/>
    <w:rsid w:val="00F97FF3"/>
    <w:rsid w:val="00FA0498"/>
    <w:rsid w:val="00FA3B3C"/>
    <w:rsid w:val="00FD60D2"/>
    <w:rsid w:val="00FE051A"/>
    <w:rsid w:val="00FE0778"/>
    <w:rsid w:val="00FE5F0B"/>
    <w:rsid w:val="00FF0632"/>
    <w:rsid w:val="2C8FD808"/>
    <w:rsid w:val="3DBFC16A"/>
    <w:rsid w:val="4EFFC72C"/>
    <w:rsid w:val="73FF4E0D"/>
    <w:rsid w:val="7F3B593B"/>
    <w:rsid w:val="ED3F0F0C"/>
    <w:rsid w:val="F7E75899"/>
    <w:rsid w:val="F93F5A64"/>
    <w:rsid w:val="FBEBE8A2"/>
    <w:rsid w:val="FBFBA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F35AC5D"/>
  <w15:docId w15:val="{05398A4E-1274-4A6F-A7B5-1CE899B8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5F8"/>
    <w:pPr>
      <w:spacing w:after="160" w:line="259" w:lineRule="auto"/>
    </w:pPr>
    <w:rPr>
      <w:sz w:val="22"/>
      <w:szCs w:val="22"/>
    </w:rPr>
  </w:style>
  <w:style w:type="paragraph" w:styleId="Heading1">
    <w:name w:val="heading 1"/>
    <w:basedOn w:val="Normal"/>
    <w:next w:val="Normal"/>
    <w:link w:val="Heading1Char"/>
    <w:uiPriority w:val="9"/>
    <w:qFormat/>
    <w:rsid w:val="00FE5F0B"/>
    <w:pPr>
      <w:keepNext/>
      <w:keepLines/>
      <w:spacing w:before="240" w:after="0"/>
      <w:outlineLvl w:val="0"/>
    </w:pPr>
    <w:rPr>
      <w:rFonts w:asciiTheme="majorHAnsi" w:eastAsiaTheme="majorEastAsia" w:hAnsiTheme="majorHAnsi" w:cstheme="majorBidi"/>
      <w:color w:val="2E74B5" w:themeColor="accent1" w:themeShade="BF"/>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table" w:customStyle="1" w:styleId="PlainTable11">
    <w:name w:val="Plain Table 11"/>
    <w:basedOn w:val="Table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bstract">
    <w:name w:val="Abstract"/>
    <w:pPr>
      <w:spacing w:after="200"/>
      <w:ind w:left="2160"/>
      <w:jc w:val="both"/>
    </w:pPr>
    <w:rPr>
      <w:rFonts w:ascii="Times New Roman" w:eastAsia="SimSun" w:hAnsi="Times New Roman" w:cs="Times New Roman"/>
      <w:b/>
      <w:bCs/>
      <w:sz w:val="18"/>
      <w:szCs w:val="18"/>
      <w:lang w:bidi="en-US"/>
    </w:rPr>
  </w:style>
  <w:style w:type="paragraph" w:customStyle="1" w:styleId="Author">
    <w:name w:val="Author"/>
    <w:pPr>
      <w:spacing w:before="360" w:after="40"/>
      <w:ind w:left="2160"/>
      <w:jc w:val="center"/>
    </w:pPr>
    <w:rPr>
      <w:rFonts w:ascii="Times New Roman" w:eastAsia="SimSun" w:hAnsi="Times New Roman" w:cs="Times New Roman"/>
      <w:lang w:bidi="en-US"/>
    </w:rPr>
  </w:style>
  <w:style w:type="paragraph" w:customStyle="1" w:styleId="keywords">
    <w:name w:val="key words"/>
    <w:pPr>
      <w:spacing w:after="120"/>
      <w:ind w:left="2160" w:firstLine="288"/>
      <w:jc w:val="both"/>
    </w:pPr>
    <w:rPr>
      <w:rFonts w:ascii="Times New Roman" w:eastAsia="SimSun" w:hAnsi="Times New Roman" w:cs="Times New Roman"/>
      <w:b/>
      <w:bCs/>
      <w:i/>
      <w:iCs/>
      <w:sz w:val="18"/>
      <w:szCs w:val="18"/>
      <w:lang w:bidi="en-US"/>
    </w:rPr>
  </w:style>
  <w:style w:type="paragraph" w:customStyle="1" w:styleId="papertitle">
    <w:name w:val="paper title"/>
    <w:pPr>
      <w:spacing w:after="120"/>
      <w:ind w:left="2160"/>
      <w:jc w:val="center"/>
    </w:pPr>
    <w:rPr>
      <w:rFonts w:ascii="Times New Roman" w:eastAsia="MS Mincho" w:hAnsi="Times New Roman" w:cs="Times New Roman"/>
      <w:sz w:val="48"/>
      <w:szCs w:val="48"/>
      <w:lang w:bidi="en-US"/>
    </w:rPr>
  </w:style>
  <w:style w:type="character" w:styleId="FollowedHyperlink">
    <w:name w:val="FollowedHyperlink"/>
    <w:basedOn w:val="DefaultParagraphFont"/>
    <w:uiPriority w:val="99"/>
    <w:semiHidden/>
    <w:unhideWhenUsed/>
    <w:rsid w:val="00ED544A"/>
    <w:rPr>
      <w:color w:val="954F72" w:themeColor="followedHyperlink"/>
      <w:u w:val="single"/>
    </w:rPr>
  </w:style>
  <w:style w:type="character" w:styleId="UnresolvedMention">
    <w:name w:val="Unresolved Mention"/>
    <w:basedOn w:val="DefaultParagraphFont"/>
    <w:uiPriority w:val="99"/>
    <w:semiHidden/>
    <w:unhideWhenUsed/>
    <w:rsid w:val="00ED544A"/>
    <w:rPr>
      <w:color w:val="605E5C"/>
      <w:shd w:val="clear" w:color="auto" w:fill="E1DFDD"/>
    </w:rPr>
  </w:style>
  <w:style w:type="paragraph" w:customStyle="1" w:styleId="ANAMETN">
    <w:name w:val="ANA METİN"/>
    <w:basedOn w:val="Normal"/>
    <w:uiPriority w:val="99"/>
    <w:rsid w:val="0099193E"/>
    <w:pPr>
      <w:suppressAutoHyphens/>
      <w:autoSpaceDE w:val="0"/>
      <w:autoSpaceDN w:val="0"/>
      <w:adjustRightInd w:val="0"/>
      <w:spacing w:after="85" w:line="288" w:lineRule="auto"/>
      <w:jc w:val="both"/>
      <w:textAlignment w:val="center"/>
    </w:pPr>
    <w:rPr>
      <w:rFonts w:ascii="Adobe Garamond Pro" w:eastAsia="Times New Roman" w:hAnsi="Adobe Garamond Pro" w:cs="Adobe Garamond Pro"/>
      <w:color w:val="000000"/>
      <w:lang w:eastAsia="tr-TR"/>
    </w:rPr>
  </w:style>
  <w:style w:type="paragraph" w:customStyle="1" w:styleId="EkomabisJudulSub2">
    <w:name w:val="Ekomabis: Judul Sub 2"/>
    <w:basedOn w:val="Normal"/>
    <w:qFormat/>
    <w:rsid w:val="00CB3333"/>
    <w:pPr>
      <w:numPr>
        <w:numId w:val="5"/>
      </w:numPr>
      <w:spacing w:before="240" w:after="0" w:line="240" w:lineRule="auto"/>
      <w:ind w:left="567" w:hanging="567"/>
      <w:jc w:val="both"/>
    </w:pPr>
    <w:rPr>
      <w:rFonts w:ascii="Book Antiqua" w:hAnsi="Book Antiqua"/>
      <w:b/>
      <w:sz w:val="24"/>
    </w:rPr>
  </w:style>
  <w:style w:type="paragraph" w:customStyle="1" w:styleId="EkomabisJudulSub">
    <w:name w:val="Ekomabis: Judul Sub"/>
    <w:basedOn w:val="Normal"/>
    <w:qFormat/>
    <w:rsid w:val="00BD31BA"/>
    <w:pPr>
      <w:numPr>
        <w:numId w:val="6"/>
      </w:numPr>
      <w:spacing w:before="480" w:after="0" w:line="240" w:lineRule="auto"/>
      <w:ind w:left="425" w:hanging="425"/>
      <w:jc w:val="both"/>
    </w:pPr>
    <w:rPr>
      <w:rFonts w:ascii="Book Antiqua" w:hAnsi="Book Antiqua"/>
      <w:b/>
      <w:sz w:val="28"/>
    </w:rPr>
  </w:style>
  <w:style w:type="table" w:customStyle="1" w:styleId="TableGrid1">
    <w:name w:val="Table Grid1"/>
    <w:basedOn w:val="TableNormal"/>
    <w:next w:val="TableGrid"/>
    <w:uiPriority w:val="39"/>
    <w:rsid w:val="00BD31BA"/>
    <w:rPr>
      <w:kern w:val="2"/>
      <w:sz w:val="22"/>
      <w:szCs w:val="2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53F5"/>
    <w:pPr>
      <w:spacing w:after="200" w:line="240" w:lineRule="auto"/>
    </w:pPr>
    <w:rPr>
      <w:rFonts w:ascii="Calibri" w:eastAsia="Calibri" w:hAnsi="Calibri" w:cs="Calibri"/>
      <w:i/>
      <w:iCs/>
      <w:color w:val="44546A" w:themeColor="text2"/>
      <w:sz w:val="18"/>
      <w:szCs w:val="18"/>
      <w:lang w:val="id-ID"/>
    </w:rPr>
  </w:style>
  <w:style w:type="paragraph" w:styleId="FootnoteText">
    <w:name w:val="footnote text"/>
    <w:basedOn w:val="Normal"/>
    <w:link w:val="FootnoteTextChar"/>
    <w:uiPriority w:val="99"/>
    <w:semiHidden/>
    <w:unhideWhenUsed/>
    <w:rsid w:val="00FE5F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5F0B"/>
  </w:style>
  <w:style w:type="character" w:styleId="FootnoteReference">
    <w:name w:val="footnote reference"/>
    <w:basedOn w:val="DefaultParagraphFont"/>
    <w:uiPriority w:val="99"/>
    <w:semiHidden/>
    <w:unhideWhenUsed/>
    <w:rsid w:val="00FE5F0B"/>
    <w:rPr>
      <w:vertAlign w:val="superscript"/>
    </w:rPr>
  </w:style>
  <w:style w:type="character" w:customStyle="1" w:styleId="Heading1Char">
    <w:name w:val="Heading 1 Char"/>
    <w:basedOn w:val="DefaultParagraphFont"/>
    <w:link w:val="Heading1"/>
    <w:uiPriority w:val="9"/>
    <w:rsid w:val="00FE5F0B"/>
    <w:rPr>
      <w:rFonts w:asciiTheme="majorHAnsi" w:eastAsiaTheme="majorEastAsia" w:hAnsiTheme="majorHAnsi" w:cstheme="majorBidi"/>
      <w:color w:val="2E74B5" w:themeColor="accent1" w:themeShade="BF"/>
      <w:sz w:val="32"/>
      <w:szCs w:val="3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0E2CD5-9372-4D15-B360-B8425A00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28173</Words>
  <Characters>160587</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dc:creator>
  <cp:lastModifiedBy>NXKEXSN00630106F882N00@hotmail.com</cp:lastModifiedBy>
  <cp:revision>6</cp:revision>
  <cp:lastPrinted>2018-10-25T11:37:00Z</cp:lastPrinted>
  <dcterms:created xsi:type="dcterms:W3CDTF">2026-01-23T05:26:00Z</dcterms:created>
  <dcterms:modified xsi:type="dcterms:W3CDTF">2026-07-23T15:27:00Z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1033-4.2.0.7541</vt:lpwstr>
  </property>
  <property fmtid="{D5CDD505-2E9C-101B-9397-08002B2CF9AE}" pid="3" name="Mendeley Document_1">
    <vt:lpwstr>True</vt:lpwstr>
  </property>
  <property fmtid="{D5CDD505-2E9C-101B-9397-08002B2CF9AE}" pid="4" name="Mendeley Unique User Id_1">
    <vt:lpwstr>3a1950a8-a0f7-3892-ad1f-6ac070516af2</vt:lpwstr>
  </property>
  <property fmtid="{D5CDD505-2E9C-101B-9397-08002B2CF9AE}" pid="5" name="Mendeley Citation Style_1">
    <vt:lpwstr>http://www.zotero.org/styles/american-sociological-association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18th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