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540"/>
        <w:gridCol w:w="2227"/>
        <w:gridCol w:w="23"/>
      </w:tblGrid>
      <w:tr w:rsidR="00A67F58" w14:paraId="25102043" w14:textId="77777777" w:rsidTr="002310DC">
        <w:trPr>
          <w:gridAfter w:val="1"/>
          <w:wAfter w:w="23" w:type="dxa"/>
        </w:trPr>
        <w:tc>
          <w:tcPr>
            <w:tcW w:w="9175" w:type="dxa"/>
            <w:gridSpan w:val="3"/>
          </w:tcPr>
          <w:p w14:paraId="291C3ED3" w14:textId="77777777" w:rsidR="00A67F58" w:rsidRDefault="00D56A5F" w:rsidP="00FC5B7E">
            <w:pPr>
              <w:pStyle w:val="papertitle"/>
              <w:spacing w:after="0"/>
              <w:ind w:left="0"/>
              <w:rPr>
                <w:rFonts w:ascii="Arial" w:hAnsi="Arial" w:cs="Arial"/>
                <w:b/>
                <w:bCs/>
                <w:color w:val="0070C0"/>
                <w:sz w:val="40"/>
                <w:szCs w:val="40"/>
              </w:rPr>
            </w:pPr>
            <w:r w:rsidRPr="00915A5E">
              <w:rPr>
                <w:rFonts w:ascii="Arial" w:hAnsi="Arial" w:cs="Arial"/>
                <w:b/>
                <w:bCs/>
                <w:color w:val="0070C0"/>
                <w:sz w:val="40"/>
                <w:szCs w:val="40"/>
              </w:rPr>
              <w:t>Audit Lingkungan, Limbah Tailing, dan Keamanan Manusia dalam Pertambangan Indonesia</w:t>
            </w:r>
          </w:p>
          <w:p w14:paraId="770159D5" w14:textId="77777777" w:rsidR="00FC5B7E" w:rsidRDefault="00FC5B7E">
            <w:pPr>
              <w:pStyle w:val="papertitle"/>
              <w:spacing w:after="0"/>
              <w:ind w:left="0"/>
              <w:jc w:val="left"/>
              <w:rPr>
                <w:rFonts w:ascii="Arial" w:hAnsi="Arial" w:cs="Arial"/>
                <w:b/>
                <w:bCs/>
                <w:color w:val="0070C0"/>
                <w:sz w:val="40"/>
                <w:szCs w:val="40"/>
                <w:lang w:val="sv-SE"/>
              </w:rPr>
            </w:pPr>
          </w:p>
          <w:p w14:paraId="1844DE48" w14:textId="32BEDBD0" w:rsidR="00FC5B7E" w:rsidRPr="00915A5E" w:rsidRDefault="00FC5B7E" w:rsidP="00D10B7F">
            <w:pPr>
              <w:pStyle w:val="papertitle"/>
              <w:spacing w:after="0"/>
              <w:ind w:left="0"/>
              <w:rPr>
                <w:rFonts w:ascii="Arial" w:hAnsi="Arial" w:cs="Arial"/>
                <w:b/>
                <w:bCs/>
                <w:sz w:val="40"/>
                <w:szCs w:val="40"/>
                <w:lang w:val="sv-SE"/>
              </w:rPr>
            </w:pPr>
          </w:p>
        </w:tc>
      </w:tr>
      <w:tr w:rsidR="00A67F58" w14:paraId="5E598844" w14:textId="77777777" w:rsidTr="002310DC">
        <w:tblPrEx>
          <w:tblBorders>
            <w:top w:val="single" w:sz="4" w:space="0" w:color="auto"/>
            <w:insideH w:val="single" w:sz="4" w:space="0" w:color="auto"/>
          </w:tblBorders>
        </w:tblPrEx>
        <w:tc>
          <w:tcPr>
            <w:tcW w:w="6408" w:type="dxa"/>
          </w:tcPr>
          <w:p w14:paraId="743E0901" w14:textId="77777777" w:rsidR="00A67F58" w:rsidRPr="00DC3EFC" w:rsidRDefault="00825BC7">
            <w:pPr>
              <w:pStyle w:val="Abstract"/>
              <w:spacing w:before="240" w:after="240"/>
              <w:ind w:left="0"/>
              <w:jc w:val="left"/>
              <w:rPr>
                <w:rFonts w:ascii="Arial" w:hAnsi="Arial" w:cs="Arial"/>
                <w:bCs w:val="0"/>
                <w:iCs/>
                <w:color w:val="2E74B5" w:themeColor="accent1" w:themeShade="BF"/>
                <w:sz w:val="22"/>
                <w:szCs w:val="22"/>
              </w:rPr>
            </w:pPr>
            <w:r w:rsidRPr="00DC3EFC">
              <w:rPr>
                <w:rFonts w:ascii="Arial" w:hAnsi="Arial" w:cs="Arial"/>
                <w:bCs w:val="0"/>
                <w:iCs/>
                <w:color w:val="2E74B5" w:themeColor="accent1" w:themeShade="BF"/>
                <w:sz w:val="22"/>
                <w:szCs w:val="22"/>
              </w:rPr>
              <w:t>ABSTRACT</w:t>
            </w:r>
          </w:p>
        </w:tc>
        <w:tc>
          <w:tcPr>
            <w:tcW w:w="540" w:type="dxa"/>
            <w:tcBorders>
              <w:bottom w:val="nil"/>
            </w:tcBorders>
          </w:tcPr>
          <w:p w14:paraId="0AEC547E" w14:textId="77777777" w:rsidR="00A67F58" w:rsidRDefault="00A67F58">
            <w:pPr>
              <w:pStyle w:val="Author"/>
              <w:spacing w:before="240" w:after="240"/>
              <w:ind w:left="0"/>
              <w:rPr>
                <w:rFonts w:asciiTheme="minorHAnsi" w:hAnsiTheme="minorHAnsi" w:cstheme="minorHAnsi"/>
                <w:sz w:val="22"/>
                <w:szCs w:val="22"/>
              </w:rPr>
            </w:pPr>
          </w:p>
        </w:tc>
        <w:tc>
          <w:tcPr>
            <w:tcW w:w="2250" w:type="dxa"/>
            <w:gridSpan w:val="2"/>
          </w:tcPr>
          <w:p w14:paraId="27721342" w14:textId="77777777" w:rsidR="00A67F58" w:rsidRPr="00DC3EFC" w:rsidRDefault="00825BC7">
            <w:pPr>
              <w:pStyle w:val="Author"/>
              <w:spacing w:before="240" w:after="240"/>
              <w:ind w:left="0"/>
              <w:jc w:val="left"/>
              <w:rPr>
                <w:rFonts w:ascii="Arial" w:hAnsi="Arial" w:cs="Arial"/>
                <w:b/>
                <w:bCs/>
                <w:color w:val="2E74B5" w:themeColor="accent1" w:themeShade="BF"/>
                <w:sz w:val="22"/>
                <w:szCs w:val="22"/>
              </w:rPr>
            </w:pPr>
            <w:r w:rsidRPr="00DC3EFC">
              <w:rPr>
                <w:rFonts w:ascii="Arial" w:hAnsi="Arial" w:cs="Arial"/>
                <w:b/>
                <w:bCs/>
                <w:color w:val="2E74B5" w:themeColor="accent1" w:themeShade="BF"/>
                <w:sz w:val="22"/>
                <w:szCs w:val="22"/>
              </w:rPr>
              <w:t>ARTICLE INFO</w:t>
            </w:r>
          </w:p>
        </w:tc>
      </w:tr>
      <w:tr w:rsidR="00A67F58" w14:paraId="0F9B7F7B" w14:textId="77777777" w:rsidTr="002310DC">
        <w:tblPrEx>
          <w:tblBorders>
            <w:top w:val="single" w:sz="4" w:space="0" w:color="auto"/>
            <w:insideH w:val="single" w:sz="4" w:space="0" w:color="auto"/>
          </w:tblBorders>
        </w:tblPrEx>
        <w:tc>
          <w:tcPr>
            <w:tcW w:w="6408" w:type="dxa"/>
          </w:tcPr>
          <w:p w14:paraId="0708A9A2" w14:textId="7C3A5514" w:rsidR="00A67F58" w:rsidRPr="00915A5E" w:rsidRDefault="00E1338D" w:rsidP="004D07E5">
            <w:pPr>
              <w:spacing w:line="276" w:lineRule="auto"/>
              <w:jc w:val="both"/>
              <w:rPr>
                <w:rFonts w:ascii="Adobe Garamond Pro" w:hAnsi="Adobe Garamond Pro" w:cs="Times New Roman"/>
              </w:rPr>
            </w:pPr>
            <w:r w:rsidRPr="00915A5E">
              <w:rPr>
                <w:rFonts w:ascii="Adobe Garamond Pro" w:hAnsi="Adobe Garamond Pro" w:cs="Times New Roman"/>
              </w:rPr>
              <w:t>Penelitian ini berfokus pada analisis pertumbuhan literatur tentang audit lingkungan, limbah tailing, dan dampaknya terhadap keselamatan manusia di sektor pertambangan di Indonesia. Kajian ini memakai pendekatan tinjauan literatur naratif kritis yang mencakup 55 artikel ilmiah yang terdaftar di Scopus dan Sinta. Analisis diarahkan pada tema audit lingkungan, pengelolaan tailing, serta dampak sosial dan ekologi bagi masyarakat, dengan menyoroti kasus utama PT Freeport Indonesia dan pertambangan nikel sebagai representasi utama dalam literatur di tingkat nasional. Temuan dari kajian ini mengindikasikan bahwa audit lingkungan dalam sektor pertambangan di Indonesia masih lebih bersifat administratif dan belum sepenuhnya mencerminkan keadaan ekologis yang sebenarnya, yang berakibat pada peningkatan risiko terhadap keamanan manusia. Penelitian ini menekankan pentingnya penguatan manajemen audit lingkungan berdasarkan kinerja untuk mendukung keberlanjutan sektor pertambangan di Indonesia</w:t>
            </w:r>
            <w:r w:rsidR="009116BA" w:rsidRPr="00915A5E">
              <w:rPr>
                <w:rStyle w:val="citation-26"/>
                <w:rFonts w:ascii="Adobe Garamond Pro" w:hAnsi="Adobe Garamond Pro" w:cs="Times New Roman"/>
              </w:rPr>
              <w:t>.</w:t>
            </w:r>
          </w:p>
        </w:tc>
        <w:tc>
          <w:tcPr>
            <w:tcW w:w="540" w:type="dxa"/>
            <w:tcBorders>
              <w:top w:val="nil"/>
              <w:bottom w:val="nil"/>
            </w:tcBorders>
          </w:tcPr>
          <w:p w14:paraId="72605E6D" w14:textId="77777777" w:rsidR="00A67F58" w:rsidRDefault="00A67F58">
            <w:pPr>
              <w:pStyle w:val="Author"/>
              <w:spacing w:before="0" w:after="0"/>
              <w:ind w:left="0"/>
              <w:jc w:val="left"/>
              <w:rPr>
                <w:rFonts w:asciiTheme="minorHAnsi" w:hAnsiTheme="minorHAnsi" w:cstheme="minorHAnsi"/>
                <w:sz w:val="22"/>
                <w:szCs w:val="22"/>
              </w:rPr>
            </w:pPr>
          </w:p>
        </w:tc>
        <w:tc>
          <w:tcPr>
            <w:tcW w:w="2250" w:type="dxa"/>
            <w:gridSpan w:val="2"/>
          </w:tcPr>
          <w:p w14:paraId="76136CBD" w14:textId="77777777" w:rsidR="00A67F58" w:rsidRPr="00915A5E" w:rsidRDefault="00825BC7">
            <w:pPr>
              <w:pStyle w:val="keywords"/>
              <w:tabs>
                <w:tab w:val="left" w:pos="1530"/>
              </w:tabs>
              <w:spacing w:before="240"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 xml:space="preserve">Keywords: </w:t>
            </w:r>
          </w:p>
          <w:p w14:paraId="7C1A5F8E" w14:textId="792C836F" w:rsidR="0098222A" w:rsidRPr="00915A5E" w:rsidRDefault="0098222A">
            <w:pPr>
              <w:pStyle w:val="keywords"/>
              <w:tabs>
                <w:tab w:val="left" w:pos="1530"/>
              </w:tabs>
              <w:spacing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Audit</w:t>
            </w:r>
            <w:r w:rsidR="00F85A24" w:rsidRPr="00915A5E">
              <w:rPr>
                <w:rFonts w:ascii="Adobe Garamond Pro" w:hAnsi="Adobe Garamond Pro" w:cstheme="minorHAnsi"/>
                <w:b w:val="0"/>
                <w:i w:val="0"/>
                <w:sz w:val="20"/>
                <w:szCs w:val="20"/>
              </w:rPr>
              <w:t xml:space="preserve"> </w:t>
            </w:r>
            <w:r w:rsidRPr="00915A5E">
              <w:rPr>
                <w:rFonts w:ascii="Adobe Garamond Pro" w:hAnsi="Adobe Garamond Pro" w:cstheme="minorHAnsi"/>
                <w:b w:val="0"/>
                <w:i w:val="0"/>
                <w:sz w:val="20"/>
                <w:szCs w:val="20"/>
              </w:rPr>
              <w:t>Lingkungan</w:t>
            </w:r>
            <w:r w:rsidR="007D3230">
              <w:rPr>
                <w:rFonts w:ascii="Adobe Garamond Pro" w:hAnsi="Adobe Garamond Pro" w:cstheme="minorHAnsi"/>
                <w:b w:val="0"/>
                <w:i w:val="0"/>
                <w:sz w:val="20"/>
                <w:szCs w:val="20"/>
              </w:rPr>
              <w:t>;</w:t>
            </w:r>
          </w:p>
          <w:p w14:paraId="42AB431F" w14:textId="127F50CF" w:rsidR="00F85A24" w:rsidRPr="00915A5E" w:rsidRDefault="00E1338D">
            <w:pPr>
              <w:pStyle w:val="keywords"/>
              <w:tabs>
                <w:tab w:val="left" w:pos="1530"/>
              </w:tabs>
              <w:spacing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Limbah Tailing</w:t>
            </w:r>
            <w:r w:rsidR="007D3230">
              <w:rPr>
                <w:rFonts w:ascii="Adobe Garamond Pro" w:hAnsi="Adobe Garamond Pro" w:cstheme="minorHAnsi"/>
                <w:b w:val="0"/>
                <w:i w:val="0"/>
                <w:sz w:val="20"/>
                <w:szCs w:val="20"/>
              </w:rPr>
              <w:t>;</w:t>
            </w:r>
          </w:p>
          <w:p w14:paraId="60C90186" w14:textId="452860C9" w:rsidR="00DA789E" w:rsidRPr="00915A5E" w:rsidRDefault="00E1338D">
            <w:pPr>
              <w:pStyle w:val="keywords"/>
              <w:tabs>
                <w:tab w:val="left" w:pos="1530"/>
              </w:tabs>
              <w:spacing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Keamanan Manusia</w:t>
            </w:r>
            <w:r w:rsidR="007D3230">
              <w:rPr>
                <w:rFonts w:ascii="Adobe Garamond Pro" w:hAnsi="Adobe Garamond Pro" w:cstheme="minorHAnsi"/>
                <w:b w:val="0"/>
                <w:i w:val="0"/>
                <w:sz w:val="20"/>
                <w:szCs w:val="20"/>
              </w:rPr>
              <w:t>;</w:t>
            </w:r>
          </w:p>
          <w:p w14:paraId="623F7323" w14:textId="3915DB1B" w:rsidR="00A67F58" w:rsidRPr="00915A5E" w:rsidRDefault="00DA789E">
            <w:pPr>
              <w:pStyle w:val="keywords"/>
              <w:tabs>
                <w:tab w:val="left" w:pos="1530"/>
              </w:tabs>
              <w:spacing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Pertambangan</w:t>
            </w:r>
            <w:r w:rsidR="00D56A5F" w:rsidRPr="00915A5E">
              <w:rPr>
                <w:rFonts w:ascii="Adobe Garamond Pro" w:hAnsi="Adobe Garamond Pro" w:cstheme="minorHAnsi"/>
                <w:b w:val="0"/>
                <w:i w:val="0"/>
                <w:sz w:val="20"/>
                <w:szCs w:val="20"/>
              </w:rPr>
              <w:t xml:space="preserve"> Indonesia</w:t>
            </w:r>
          </w:p>
          <w:p w14:paraId="3730F5E2" w14:textId="77777777" w:rsidR="00A67F58" w:rsidRPr="00915A5E" w:rsidRDefault="00A67F58">
            <w:pPr>
              <w:pStyle w:val="keywords"/>
              <w:tabs>
                <w:tab w:val="left" w:pos="1530"/>
              </w:tabs>
              <w:spacing w:before="240" w:after="0"/>
              <w:ind w:left="0" w:firstLine="0"/>
              <w:jc w:val="left"/>
              <w:rPr>
                <w:rFonts w:ascii="Adobe Garamond Pro" w:hAnsi="Adobe Garamond Pro" w:cstheme="minorHAnsi"/>
                <w:b w:val="0"/>
                <w:i w:val="0"/>
                <w:sz w:val="22"/>
                <w:szCs w:val="22"/>
              </w:rPr>
            </w:pPr>
          </w:p>
          <w:p w14:paraId="6C55B5B7" w14:textId="77777777" w:rsidR="00A67F58" w:rsidRPr="00915A5E" w:rsidRDefault="00825BC7">
            <w:pPr>
              <w:pStyle w:val="keywords"/>
              <w:spacing w:before="240"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 xml:space="preserve">JEL Code: </w:t>
            </w:r>
          </w:p>
          <w:p w14:paraId="2F292CC9" w14:textId="77777777" w:rsidR="00A67F58" w:rsidRPr="00915A5E" w:rsidRDefault="00825BC7">
            <w:pPr>
              <w:pStyle w:val="keywords"/>
              <w:spacing w:after="0"/>
              <w:ind w:left="0" w:firstLine="0"/>
              <w:jc w:val="left"/>
              <w:rPr>
                <w:rFonts w:ascii="Adobe Garamond Pro" w:hAnsi="Adobe Garamond Pro" w:cstheme="minorHAnsi"/>
                <w:b w:val="0"/>
                <w:i w:val="0"/>
                <w:sz w:val="20"/>
                <w:szCs w:val="20"/>
              </w:rPr>
            </w:pPr>
            <w:r w:rsidRPr="00915A5E">
              <w:rPr>
                <w:rFonts w:ascii="Adobe Garamond Pro" w:hAnsi="Adobe Garamond Pro" w:cstheme="minorHAnsi"/>
                <w:b w:val="0"/>
                <w:i w:val="0"/>
                <w:sz w:val="20"/>
                <w:szCs w:val="20"/>
              </w:rPr>
              <w:t>D13, I31, J22, K31</w:t>
            </w:r>
          </w:p>
          <w:p w14:paraId="59A7E5DF" w14:textId="77777777" w:rsidR="00A67F58" w:rsidRDefault="00A67F58">
            <w:pPr>
              <w:pStyle w:val="keywords"/>
              <w:tabs>
                <w:tab w:val="left" w:pos="1530"/>
              </w:tabs>
              <w:spacing w:after="0"/>
              <w:ind w:left="0" w:firstLine="0"/>
              <w:jc w:val="left"/>
              <w:rPr>
                <w:rFonts w:asciiTheme="minorHAnsi" w:hAnsiTheme="minorHAnsi" w:cstheme="minorHAnsi"/>
                <w:b w:val="0"/>
                <w:i w:val="0"/>
                <w:sz w:val="22"/>
                <w:szCs w:val="22"/>
              </w:rPr>
            </w:pPr>
          </w:p>
          <w:p w14:paraId="192A8776" w14:textId="77777777" w:rsidR="00A67F58" w:rsidRDefault="00A67F58">
            <w:pPr>
              <w:pStyle w:val="Author"/>
              <w:spacing w:before="0" w:after="0"/>
              <w:ind w:left="0"/>
              <w:jc w:val="left"/>
              <w:rPr>
                <w:rFonts w:asciiTheme="minorHAnsi" w:hAnsiTheme="minorHAnsi" w:cstheme="minorHAnsi"/>
                <w:sz w:val="22"/>
                <w:szCs w:val="22"/>
              </w:rPr>
            </w:pPr>
          </w:p>
        </w:tc>
      </w:tr>
      <w:tr w:rsidR="00A67F58" w14:paraId="775E1252" w14:textId="77777777" w:rsidTr="002310DC">
        <w:tblPrEx>
          <w:tblBorders>
            <w:top w:val="single" w:sz="4" w:space="0" w:color="auto"/>
            <w:insideH w:val="single" w:sz="4" w:space="0" w:color="auto"/>
          </w:tblBorders>
        </w:tblPrEx>
        <w:tc>
          <w:tcPr>
            <w:tcW w:w="9198" w:type="dxa"/>
            <w:gridSpan w:val="4"/>
          </w:tcPr>
          <w:p w14:paraId="5B763B58" w14:textId="3D18538D" w:rsidR="00A67F58" w:rsidRDefault="004D07E5">
            <w:pPr>
              <w:spacing w:after="0" w:line="240" w:lineRule="auto"/>
              <w:jc w:val="both"/>
              <w:rPr>
                <w:rFonts w:cstheme="minorHAnsi"/>
              </w:rPr>
            </w:pPr>
            <w:r>
              <w:rPr>
                <w:rFonts w:cstheme="minorHAnsi"/>
              </w:rPr>
              <w:t xml:space="preserve"> </w:t>
            </w:r>
          </w:p>
          <w:p w14:paraId="61CF7882" w14:textId="77777777" w:rsidR="00A67F58" w:rsidRDefault="00A67F58">
            <w:pPr>
              <w:spacing w:after="0" w:line="240" w:lineRule="auto"/>
              <w:jc w:val="both"/>
              <w:rPr>
                <w:rFonts w:cstheme="minorHAnsi"/>
              </w:rPr>
            </w:pPr>
          </w:p>
          <w:p w14:paraId="6F4EEF63" w14:textId="77777777" w:rsidR="00A67F58" w:rsidRDefault="00A67F58">
            <w:pPr>
              <w:spacing w:after="0" w:line="240" w:lineRule="auto"/>
              <w:jc w:val="both"/>
              <w:rPr>
                <w:rFonts w:cstheme="minorHAnsi"/>
              </w:rPr>
            </w:pPr>
          </w:p>
          <w:p w14:paraId="424292D7" w14:textId="77777777" w:rsidR="00A67F58" w:rsidRDefault="00A67F58">
            <w:pPr>
              <w:spacing w:after="0" w:line="240" w:lineRule="auto"/>
              <w:jc w:val="both"/>
              <w:rPr>
                <w:rFonts w:cstheme="minorHAnsi"/>
              </w:rPr>
            </w:pPr>
          </w:p>
          <w:p w14:paraId="0F080EE9" w14:textId="77777777" w:rsidR="00A67F58" w:rsidRDefault="00A67F58">
            <w:pPr>
              <w:spacing w:after="0" w:line="240" w:lineRule="auto"/>
              <w:jc w:val="both"/>
              <w:rPr>
                <w:rFonts w:cstheme="minorHAnsi"/>
              </w:rPr>
            </w:pPr>
          </w:p>
          <w:p w14:paraId="4F1F1B10" w14:textId="48071FA8" w:rsidR="00A67F58" w:rsidRPr="00AD3073" w:rsidRDefault="00A67F58" w:rsidP="00AD3073">
            <w:pPr>
              <w:spacing w:after="0" w:line="240" w:lineRule="auto"/>
              <w:jc w:val="both"/>
              <w:rPr>
                <w:rFonts w:cstheme="minorHAnsi"/>
              </w:rPr>
            </w:pPr>
          </w:p>
        </w:tc>
      </w:tr>
    </w:tbl>
    <w:p w14:paraId="6EF1C800" w14:textId="77777777" w:rsidR="00A67F58" w:rsidRPr="00676004" w:rsidRDefault="00A67F58" w:rsidP="00676004">
      <w:pPr>
        <w:pStyle w:val="ListParagraph"/>
        <w:numPr>
          <w:ilvl w:val="0"/>
          <w:numId w:val="11"/>
        </w:numPr>
        <w:spacing w:line="240" w:lineRule="auto"/>
        <w:rPr>
          <w:rFonts w:cstheme="minorHAnsi"/>
        </w:rPr>
        <w:sectPr w:rsidR="00A67F58" w:rsidRPr="00676004" w:rsidSect="00FE0778">
          <w:headerReference w:type="even" r:id="rId9"/>
          <w:headerReference w:type="default" r:id="rId10"/>
          <w:footerReference w:type="default" r:id="rId11"/>
          <w:pgSz w:w="11907" w:h="16840"/>
          <w:pgMar w:top="1701" w:right="1197" w:bottom="1418" w:left="1418" w:header="1077" w:footer="1134" w:gutter="0"/>
          <w:pgNumType w:start="99"/>
          <w:cols w:space="720"/>
          <w:docGrid w:linePitch="360"/>
        </w:sectPr>
      </w:pPr>
    </w:p>
    <w:p w14:paraId="4C929DB6" w14:textId="7154D5C9" w:rsidR="00A67F58" w:rsidRPr="00676004" w:rsidRDefault="00C92015" w:rsidP="000D749B">
      <w:pPr>
        <w:pStyle w:val="ListParagraph"/>
        <w:numPr>
          <w:ilvl w:val="0"/>
          <w:numId w:val="11"/>
        </w:numPr>
        <w:tabs>
          <w:tab w:val="left" w:pos="360"/>
        </w:tabs>
        <w:suppressAutoHyphens/>
        <w:spacing w:after="0" w:line="276" w:lineRule="auto"/>
        <w:rPr>
          <w:rFonts w:ascii="Arial" w:hAnsi="Arial" w:cs="Arial"/>
          <w:b/>
          <w:color w:val="2E74B5" w:themeColor="accent1" w:themeShade="BF"/>
        </w:rPr>
      </w:pPr>
      <w:r w:rsidRPr="00676004">
        <w:rPr>
          <w:rFonts w:ascii="Arial" w:hAnsi="Arial" w:cs="Arial"/>
          <w:b/>
          <w:color w:val="2E74B5" w:themeColor="accent1" w:themeShade="BF"/>
        </w:rPr>
        <w:lastRenderedPageBreak/>
        <w:t xml:space="preserve">INTRODUCTION </w:t>
      </w:r>
    </w:p>
    <w:p w14:paraId="488BA8A8" w14:textId="77777777" w:rsidR="00DF3F40" w:rsidRPr="00915A5E" w:rsidRDefault="00DF3F40" w:rsidP="00915A5E">
      <w:pPr>
        <w:pStyle w:val="ListParagraph"/>
        <w:spacing w:before="100" w:beforeAutospacing="1" w:after="100" w:afterAutospacing="1" w:line="276" w:lineRule="auto"/>
        <w:jc w:val="both"/>
        <w:rPr>
          <w:rFonts w:ascii="Adobe Garamond Pro" w:eastAsia="Times New Roman" w:hAnsi="Adobe Garamond Pro" w:cs="Arial"/>
        </w:rPr>
      </w:pPr>
      <w:bookmarkStart w:id="0" w:name="_Hlk217420479"/>
      <w:r w:rsidRPr="00915A5E">
        <w:rPr>
          <w:rFonts w:ascii="Adobe Garamond Pro" w:eastAsia="Times New Roman" w:hAnsi="Adobe Garamond Pro" w:cs="Arial"/>
        </w:rPr>
        <w:t>Eksploitasi sumber daya alam dalam skala masif di Indonesia sering kali menempatkan pertumbuhan ekonomi dan kelestarian ekologis dalam posisi yang kontradiktif. Sebagai salah satu entitas pertambangan terbesar, PT Freeport Indonesia (PTFI) yang beroperasi di wilayah Mimika, Papua, menghadapi tantangan serius terkait manajemen limbah. Fokus utama dalam diskursus lingkungan di wilayah ini adalah pengelolaan tailing yang dialirkan melalui sistem sungai menuju area sedimentasi ModADA .Meskipun mekanisme pengawasan seperti audit lingkungan eksternal dilakukan secara periodik untuk mengevaluasi kepatuhan terhadap standar pemerintah namun realitas di lapangan menunjukkan bahwa dampak biofisik dari sedimentasi tersebut memerlukan tinjauan yang lebih mendalam melampaui sekadar kepatuhan administratif.</w:t>
      </w:r>
    </w:p>
    <w:p w14:paraId="5FF53159" w14:textId="1DD9D34B" w:rsidR="00DF3F40" w:rsidRPr="00915A5E" w:rsidRDefault="00DF3F40" w:rsidP="00915A5E">
      <w:pPr>
        <w:pStyle w:val="ListParagraph"/>
        <w:spacing w:before="100" w:beforeAutospacing="1" w:after="100" w:afterAutospacing="1" w:line="276" w:lineRule="auto"/>
        <w:ind w:firstLine="720"/>
        <w:jc w:val="both"/>
        <w:rPr>
          <w:rFonts w:ascii="Adobe Garamond Pro" w:eastAsia="Times New Roman" w:hAnsi="Adobe Garamond Pro" w:cs="Arial"/>
        </w:rPr>
      </w:pPr>
      <w:r w:rsidRPr="00915A5E">
        <w:rPr>
          <w:rFonts w:ascii="Adobe Garamond Pro" w:eastAsia="Times New Roman" w:hAnsi="Adobe Garamond Pro" w:cs="Arial"/>
        </w:rPr>
        <w:t>Dalam perspektif keamanan yang lebih luas, kegagalan dalam memitigasi dampak lingkungan ini bukan lagi dianggap sebagai masalah teknis semata, melainkan sebuah ancaman eksistensial. Isu tailing di Papua menuntut adanya upaya sekuritisasi lingkungan, di mana permasalahan limbah diangkat menjadi prioritas keamanan untuk mencegah eskalasi konflik sosial dan kerusakan ekosistem yang bersifat permanen (Prakoso et al., 2023). Tanpa adanya pengakuan bahwa degradasi lingkungan darat dan pesisir merupakan ancaman nyata bagi keberlangsungan hidup, solusi yang ditawarkan cenderung bersifat parsial dan gagal menyentuh akar permasalahan di tingkat tapak (Prakoso et al., 2023).</w:t>
      </w:r>
    </w:p>
    <w:p w14:paraId="5048B782" w14:textId="77777777" w:rsidR="00DF3F40" w:rsidRPr="00915A5E" w:rsidRDefault="00DF3F40" w:rsidP="00915A5E">
      <w:pPr>
        <w:pStyle w:val="ListParagraph"/>
        <w:spacing w:before="100" w:beforeAutospacing="1" w:after="100" w:afterAutospacing="1" w:line="276" w:lineRule="auto"/>
        <w:ind w:firstLine="720"/>
        <w:jc w:val="both"/>
        <w:rPr>
          <w:rFonts w:ascii="Adobe Garamond Pro" w:eastAsia="Times New Roman" w:hAnsi="Adobe Garamond Pro" w:cs="Arial"/>
        </w:rPr>
      </w:pPr>
      <w:r w:rsidRPr="00915A5E">
        <w:rPr>
          <w:rFonts w:ascii="Adobe Garamond Pro" w:eastAsia="Times New Roman" w:hAnsi="Adobe Garamond Pro" w:cs="Arial"/>
        </w:rPr>
        <w:t>Lebih lanjut, degradasi kualitas lingkungan ini berimplikasi langsung terhadap tatanan keamanan manusia (</w:t>
      </w:r>
      <w:r w:rsidRPr="00915A5E">
        <w:rPr>
          <w:rFonts w:ascii="Adobe Garamond Pro" w:eastAsia="Times New Roman" w:hAnsi="Adobe Garamond Pro" w:cs="Arial"/>
          <w:i/>
          <w:iCs/>
        </w:rPr>
        <w:t>human security</w:t>
      </w:r>
      <w:r w:rsidRPr="00915A5E">
        <w:rPr>
          <w:rFonts w:ascii="Adobe Garamond Pro" w:eastAsia="Times New Roman" w:hAnsi="Adobe Garamond Pro" w:cs="Arial"/>
        </w:rPr>
        <w:t>). Kebijakan pemerintah dalam menangani dampak operasional PTFI sering kali dinilai belum mampu memberikan perlindungan komprehensif terhadap masyarakat adat di Mimika, terutama terkait hak atas kesehatan dan akses sumber daya ekonomi (Astuti, 2018). Kondisi ini menciptakan kerentanan berlapis bagi penduduk lokal yang menggantungkan hidupnya pada integritas ekosistem hutan dan sungai (Astuti, 2018). Paradigma ini pun menemukan relevansinya pada sektor pertambangan lain, seperti nikel, di mana gangguan operasional dan deforestasi sering kali memicu instabilitas sosio-ekologis bagi komunitas lokal (Tella &amp; Danjibo, 2024).</w:t>
      </w:r>
      <w:bookmarkEnd w:id="0"/>
    </w:p>
    <w:p w14:paraId="3A9C5516" w14:textId="77777777" w:rsidR="00DF3F40" w:rsidRPr="00915A5E" w:rsidRDefault="00DF3F40" w:rsidP="00915A5E">
      <w:pPr>
        <w:pStyle w:val="ListParagraph"/>
        <w:spacing w:before="100" w:beforeAutospacing="1" w:after="100" w:afterAutospacing="1" w:line="276" w:lineRule="auto"/>
        <w:ind w:firstLine="720"/>
        <w:jc w:val="both"/>
        <w:rPr>
          <w:rFonts w:ascii="Adobe Garamond Pro" w:eastAsia="Times New Roman" w:hAnsi="Adobe Garamond Pro" w:cs="Arial"/>
        </w:rPr>
      </w:pPr>
      <w:r w:rsidRPr="00915A5E">
        <w:rPr>
          <w:rFonts w:ascii="Adobe Garamond Pro" w:eastAsia="Times New Roman" w:hAnsi="Adobe Garamond Pro" w:cs="Arial"/>
        </w:rPr>
        <w:t>Oleh karena itu, diperlukan integrasi yang kuat antara tata kelola perusahaan (</w:t>
      </w:r>
      <w:r w:rsidRPr="00915A5E">
        <w:rPr>
          <w:rFonts w:ascii="Adobe Garamond Pro" w:eastAsia="Times New Roman" w:hAnsi="Adobe Garamond Pro" w:cs="Arial"/>
          <w:i/>
          <w:iCs/>
        </w:rPr>
        <w:t>corporate governance</w:t>
      </w:r>
      <w:r w:rsidRPr="00915A5E">
        <w:rPr>
          <w:rFonts w:ascii="Adobe Garamond Pro" w:eastAsia="Times New Roman" w:hAnsi="Adobe Garamond Pro" w:cs="Arial"/>
        </w:rPr>
        <w:t xml:space="preserve">) dan pengawasan lingkungan yang ketat. Implementasi tanggung jawab sosial dan tata kelola yang transparan diharapkan mampu mereduksi risiko perusahaan sekaligus melindungi kepentingan </w:t>
      </w:r>
      <w:r w:rsidRPr="00915A5E">
        <w:rPr>
          <w:rFonts w:ascii="Adobe Garamond Pro" w:eastAsia="Times New Roman" w:hAnsi="Adobe Garamond Pro" w:cs="Arial"/>
          <w:i/>
          <w:iCs/>
        </w:rPr>
        <w:t>stakeholder</w:t>
      </w:r>
      <w:r w:rsidRPr="00915A5E">
        <w:rPr>
          <w:rFonts w:ascii="Adobe Garamond Pro" w:eastAsia="Times New Roman" w:hAnsi="Adobe Garamond Pro" w:cs="Arial"/>
        </w:rPr>
        <w:t xml:space="preserve"> (Pardede, 2023). Dengan membandingkan dinamika pertambangan tembaga-emas di Papua dan pertambangan nikel di wilayah lain, studi ini bermaksud menganalisis sejauh mana efektivitas audit lingkungan dan kebijakan negara dalam menjamin keamanan manusia di tengah arus industrialisasi ekstraktif (Triyanti et al., 2023).</w:t>
      </w:r>
    </w:p>
    <w:p w14:paraId="753EF339" w14:textId="77777777" w:rsidR="00DF3F40" w:rsidRPr="00915A5E" w:rsidRDefault="00DF3F40" w:rsidP="00915A5E">
      <w:pPr>
        <w:pStyle w:val="ListParagraph"/>
        <w:spacing w:before="100" w:beforeAutospacing="1" w:after="100" w:afterAutospacing="1" w:line="276" w:lineRule="auto"/>
        <w:ind w:firstLine="720"/>
        <w:jc w:val="both"/>
        <w:rPr>
          <w:rFonts w:ascii="Adobe Garamond Pro" w:hAnsi="Adobe Garamond Pro" w:cs="Arial"/>
        </w:rPr>
      </w:pPr>
      <w:r w:rsidRPr="00915A5E">
        <w:rPr>
          <w:rFonts w:ascii="Adobe Garamond Pro" w:hAnsi="Adobe Garamond Pro" w:cs="Arial"/>
        </w:rPr>
        <w:t>Gap Penelitian dan Urgensi Kajian</w:t>
      </w:r>
      <w:r w:rsidRPr="00915A5E">
        <w:rPr>
          <w:rFonts w:ascii="Adobe Garamond Pro" w:hAnsi="Adobe Garamond Pro" w:cs="Arial"/>
          <w:b/>
          <w:bCs/>
        </w:rPr>
        <w:t>:</w:t>
      </w:r>
      <w:r w:rsidRPr="00915A5E">
        <w:rPr>
          <w:rFonts w:ascii="Adobe Garamond Pro" w:hAnsi="Adobe Garamond Pro" w:cs="Arial"/>
        </w:rPr>
        <w:t xml:space="preserve"> Celah utama yang diidentifikasi dalam kajian ini adalah bahwa audit lingkungan di sektor pertambangan Indonesia masih cenderung bersifat administratif dan terbatas pada formalitas kepatuhan (</w:t>
      </w:r>
      <w:r w:rsidRPr="00915A5E">
        <w:rPr>
          <w:rFonts w:ascii="Adobe Garamond Pro" w:hAnsi="Adobe Garamond Pro" w:cs="Arial"/>
          <w:i/>
          <w:iCs/>
        </w:rPr>
        <w:t>compliance-based</w:t>
      </w:r>
      <w:r w:rsidRPr="00915A5E">
        <w:rPr>
          <w:rFonts w:ascii="Adobe Garamond Pro" w:hAnsi="Adobe Garamond Pro" w:cs="Arial"/>
        </w:rPr>
        <w:t>), namun belum berbasis pada kinerja keberlanjutan (</w:t>
      </w:r>
      <w:r w:rsidRPr="00915A5E">
        <w:rPr>
          <w:rFonts w:ascii="Adobe Garamond Pro" w:hAnsi="Adobe Garamond Pro" w:cs="Arial"/>
          <w:i/>
          <w:iCs/>
        </w:rPr>
        <w:t>performance-based audit</w:t>
      </w:r>
      <w:r w:rsidRPr="00915A5E">
        <w:rPr>
          <w:rFonts w:ascii="Adobe Garamond Pro" w:hAnsi="Adobe Garamond Pro" w:cs="Arial"/>
        </w:rPr>
        <w:t xml:space="preserve">) yang komprehensif (Mwaura, 2019). Hal ini menjelaskan persistensi degradasi lingkungan meskipun perusahaan telah memenuhi audit formal (Zulqarnain et al., 2024). Kajian ini berfokus pada analisis perbandingan antara </w:t>
      </w:r>
      <w:r w:rsidRPr="00915A5E">
        <w:rPr>
          <w:rFonts w:ascii="Adobe Garamond Pro" w:hAnsi="Adobe Garamond Pro" w:cs="Arial"/>
          <w:i/>
          <w:iCs/>
        </w:rPr>
        <w:t>compliance-based audit</w:t>
      </w:r>
      <w:r w:rsidRPr="00915A5E">
        <w:rPr>
          <w:rFonts w:ascii="Adobe Garamond Pro" w:hAnsi="Adobe Garamond Pro" w:cs="Arial"/>
        </w:rPr>
        <w:t xml:space="preserve"> dengan dampak lingkungan aktual, serta bagaimana dampak sosio-ekologis tersebut memicu sekuritisasi lingkungan oleh masyarakat lokal sebagai bentuk perlindungan atas hak-hak dasar mereka.</w:t>
      </w:r>
    </w:p>
    <w:p w14:paraId="4BB0DC85" w14:textId="1FA39A9C" w:rsidR="00DF3F40" w:rsidRPr="00915A5E" w:rsidRDefault="00DF3F40" w:rsidP="00915A5E">
      <w:pPr>
        <w:pStyle w:val="ListParagraph"/>
        <w:spacing w:before="100" w:beforeAutospacing="1" w:after="100" w:afterAutospacing="1" w:line="276" w:lineRule="auto"/>
        <w:ind w:firstLine="720"/>
        <w:jc w:val="both"/>
        <w:rPr>
          <w:rFonts w:ascii="Adobe Garamond Pro" w:hAnsi="Adobe Garamond Pro" w:cs="Arial"/>
        </w:rPr>
      </w:pPr>
      <w:r w:rsidRPr="00915A5E">
        <w:rPr>
          <w:rFonts w:ascii="Adobe Garamond Pro" w:hAnsi="Adobe Garamond Pro" w:cs="Arial"/>
        </w:rPr>
        <w:t>Penelitian ini bertujuan untuk menggali secara lebih mendalam literatur mengenai audit lingkungan, pengelolaan limbah tailing, dan implikasinya terhadap keamanan manusia (</w:t>
      </w:r>
      <w:r w:rsidRPr="00915A5E">
        <w:rPr>
          <w:rFonts w:ascii="Adobe Garamond Pro" w:hAnsi="Adobe Garamond Pro" w:cs="Arial"/>
          <w:i/>
          <w:iCs/>
        </w:rPr>
        <w:t>human security</w:t>
      </w:r>
      <w:r w:rsidRPr="00915A5E">
        <w:rPr>
          <w:rFonts w:ascii="Adobe Garamond Pro" w:hAnsi="Adobe Garamond Pro" w:cs="Arial"/>
        </w:rPr>
        <w:t>) guna mengidentifikasi celah riset (</w:t>
      </w:r>
      <w:r w:rsidRPr="00915A5E">
        <w:rPr>
          <w:rFonts w:ascii="Adobe Garamond Pro" w:hAnsi="Adobe Garamond Pro" w:cs="Arial"/>
          <w:i/>
          <w:iCs/>
        </w:rPr>
        <w:t>research gaps</w:t>
      </w:r>
      <w:r w:rsidRPr="00915A5E">
        <w:rPr>
          <w:rFonts w:ascii="Adobe Garamond Pro" w:hAnsi="Adobe Garamond Pro" w:cs="Arial"/>
        </w:rPr>
        <w:t xml:space="preserve">) bagi penelitian mendatang. Fokus utama kajian ini diarahkan pada evaluasi efektivitas audit pada sektor pertambangan emas dan nikel di Indonesia. Berbeda dengan penelitian sebelumnya yang tidak mengukur dampak langsung terhadap </w:t>
      </w:r>
      <w:r w:rsidRPr="00915A5E">
        <w:rPr>
          <w:rFonts w:ascii="Adobe Garamond Pro" w:hAnsi="Adobe Garamond Pro" w:cs="Arial"/>
        </w:rPr>
        <w:lastRenderedPageBreak/>
        <w:t>lingkungan atau komunitas lokal secara kuantitatif lebih fokus pada konsep teoritis.</w:t>
      </w:r>
      <w:r w:rsidR="00915A5E">
        <w:rPr>
          <w:rFonts w:ascii="Adobe Garamond Pro" w:hAnsi="Adobe Garamond Pro" w:cs="Arial"/>
        </w:rPr>
        <w:t xml:space="preserve"> </w:t>
      </w:r>
      <w:r w:rsidRPr="00915A5E">
        <w:rPr>
          <w:rFonts w:ascii="Adobe Garamond Pro" w:hAnsi="Adobe Garamond Pro" w:cs="Arial"/>
        </w:rPr>
        <w:t>Perbedaan yang dilakukan oleh peneliti adalah fokus terhadap audit lingkungan, limbah tailing, dan implikasi keamanan manusia.</w:t>
      </w:r>
    </w:p>
    <w:p w14:paraId="5E9E942E" w14:textId="77777777" w:rsidR="005E2E8C" w:rsidRPr="00D71A70" w:rsidRDefault="005E2E8C" w:rsidP="000D749B">
      <w:pPr>
        <w:pStyle w:val="ListParagraph"/>
        <w:spacing w:before="100" w:beforeAutospacing="1" w:after="100" w:afterAutospacing="1" w:line="276" w:lineRule="auto"/>
        <w:rPr>
          <w:rFonts w:ascii="Arial" w:eastAsia="Times New Roman" w:hAnsi="Arial" w:cs="Arial"/>
        </w:rPr>
      </w:pPr>
    </w:p>
    <w:p w14:paraId="2DF7B385" w14:textId="77777777" w:rsidR="00915A5E" w:rsidRPr="00915A5E" w:rsidRDefault="007672DE" w:rsidP="00915A5E">
      <w:pPr>
        <w:pStyle w:val="ListParagraph"/>
        <w:numPr>
          <w:ilvl w:val="0"/>
          <w:numId w:val="11"/>
        </w:numPr>
        <w:tabs>
          <w:tab w:val="left" w:pos="0"/>
        </w:tabs>
        <w:suppressAutoHyphens/>
        <w:spacing w:after="0" w:line="360" w:lineRule="auto"/>
        <w:jc w:val="both"/>
        <w:rPr>
          <w:rFonts w:ascii="Arial" w:hAnsi="Arial" w:cs="Arial"/>
          <w:b/>
          <w:bCs/>
        </w:rPr>
      </w:pPr>
      <w:r w:rsidRPr="00915A5E">
        <w:rPr>
          <w:rFonts w:ascii="Arial" w:hAnsi="Arial" w:cs="Arial"/>
          <w:b/>
          <w:color w:val="2E74B5" w:themeColor="accent1" w:themeShade="BF"/>
        </w:rPr>
        <w:t xml:space="preserve">LITERATURE REVIEW </w:t>
      </w:r>
    </w:p>
    <w:p w14:paraId="512ED24D" w14:textId="39668B38"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b/>
          <w:bCs/>
        </w:rPr>
      </w:pPr>
      <w:r w:rsidRPr="00915A5E">
        <w:rPr>
          <w:rFonts w:ascii="Adobe Garamond Pro" w:hAnsi="Adobe Garamond Pro" w:cs="Arial"/>
          <w:b/>
          <w:bCs/>
        </w:rPr>
        <w:t>Environmental Audit in Extractive Industries</w:t>
      </w:r>
    </w:p>
    <w:p w14:paraId="2B0126C8"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rPr>
      </w:pPr>
      <w:r w:rsidRPr="00915A5E">
        <w:rPr>
          <w:rFonts w:ascii="Adobe Garamond Pro" w:hAnsi="Adobe Garamond Pro" w:cs="Arial"/>
        </w:rPr>
        <w:t>Audit lingkungan merupakan instrumen kebijakan yang dirancang untuk memastikan kepatuhan perusahaan terhadap regulasi lingkungan serta memitigasi risiko ekologis akibat aktivitas industri ekstraktif. Dalam perspektif ekonomi lingkungan, audit berfungsi sebagai mekanisme internalisasi eksternalitas negatif yang timbul dari kegiatan pertambangan, seperti degradasi kualitas air, pencemaran tanah, dan hilangnya biodiversitas (Jones, 2020). Namun, literatur mutakhir menunjukkan bahwa efektivitas audit lingkungan sangat bergantung pada orientasi audit itu sendiri, apakah bersifat kepatuhan administratif (compliance-based audit) atau berbasis kinerja lingkungan (performance-based audit).</w:t>
      </w:r>
    </w:p>
    <w:p w14:paraId="26934ADF" w14:textId="047581CC" w:rsidR="00E81244" w:rsidRPr="00915A5E" w:rsidRDefault="00E81244" w:rsidP="005E2E8C">
      <w:pPr>
        <w:pStyle w:val="ListParagraph"/>
        <w:tabs>
          <w:tab w:val="left" w:pos="0"/>
        </w:tabs>
        <w:suppressAutoHyphens/>
        <w:spacing w:after="0" w:line="360" w:lineRule="auto"/>
        <w:ind w:firstLine="720"/>
        <w:jc w:val="both"/>
        <w:rPr>
          <w:rFonts w:ascii="Adobe Garamond Pro" w:hAnsi="Adobe Garamond Pro" w:cs="Arial"/>
          <w:color w:val="000000" w:themeColor="text1"/>
        </w:rPr>
      </w:pPr>
      <w:r w:rsidRPr="00915A5E">
        <w:rPr>
          <w:rFonts w:ascii="Adobe Garamond Pro" w:hAnsi="Adobe Garamond Pro" w:cs="Arial"/>
        </w:rPr>
        <w:t>Sejumlah studi menegaskan bahwa audit lingkungan di sektor pertambanganIndonesia masih didominasi oleh pendekatan compliance-based, yang menitikberatkan pada verifikasi dokumen formal seperti AMDAL, RKL, dan RPL (Mwaura, 2019; Lily et al., 2022). Pendekatan ini cenderung menghasilkan kepatuhan minimal (minimal compliance), di mana perusahaan memenuhi persyaratan hukum tanpa secara substansial mengurangi dampak ekologis di lapangan (Zulqarnain et al., 2024). Akibatnya, meskipun audit formal menunjukkan tingkat kepatuhan yang tinggi, degradasi lingkungan tetap berlanjut secara sistemik.</w:t>
      </w:r>
    </w:p>
    <w:p w14:paraId="4F84A190"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b/>
          <w:bCs/>
        </w:rPr>
      </w:pPr>
      <w:r w:rsidRPr="00915A5E">
        <w:rPr>
          <w:rFonts w:ascii="Adobe Garamond Pro" w:hAnsi="Adobe Garamond Pro" w:cs="Arial"/>
          <w:b/>
          <w:bCs/>
        </w:rPr>
        <w:t>Tailings Management and Socio-Ecological Impact</w:t>
      </w:r>
    </w:p>
    <w:p w14:paraId="00686974"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rPr>
      </w:pPr>
      <w:r w:rsidRPr="00915A5E">
        <w:rPr>
          <w:rFonts w:ascii="Adobe Garamond Pro" w:hAnsi="Adobe Garamond Pro" w:cs="Arial"/>
        </w:rPr>
        <w:t>Pengelolaan tailing merupakan salah satu isu paling krusial dalam industri pertambangan logam, mengingat potensi risiko ekologis dan sosial yang ditimbulkannya. Studi mengenai PT Freeport Indonesia (PTFI) menunjukkan bahwa sistem pembuangan tailing melalui Modified Ajkwa Deposition Area (ModADA) telah menimbulkan perubahan signifikan terhadap ekosistem sungai, lahan basah, dan wilayah pesisir (Prakoso et al., 2023; Santamarina et al., 2020). Dampak tersebut tidak hanya bersifat biofisik, tetapi juga mempengaruhi ketahanan pangan, kesehatan, serta mata pencaharian masyarakat adat di Mimika.</w:t>
      </w:r>
    </w:p>
    <w:p w14:paraId="6E0D3E4A" w14:textId="3B532969" w:rsidR="00E81244" w:rsidRPr="00915A5E" w:rsidRDefault="00E81244" w:rsidP="005E2E8C">
      <w:pPr>
        <w:pStyle w:val="ListParagraph"/>
        <w:tabs>
          <w:tab w:val="left" w:pos="0"/>
        </w:tabs>
        <w:suppressAutoHyphens/>
        <w:spacing w:after="0" w:line="360" w:lineRule="auto"/>
        <w:ind w:firstLine="720"/>
        <w:jc w:val="both"/>
        <w:rPr>
          <w:rFonts w:ascii="Adobe Garamond Pro" w:hAnsi="Adobe Garamond Pro" w:cs="Arial"/>
          <w:b/>
          <w:bCs/>
        </w:rPr>
      </w:pPr>
      <w:r w:rsidRPr="00915A5E">
        <w:rPr>
          <w:rFonts w:ascii="Adobe Garamond Pro" w:hAnsi="Adobe Garamond Pro" w:cs="Arial"/>
        </w:rPr>
        <w:t>Literatur teknis menunjukkan bahwa pengelolaan tailing sering kali dinilai aman berdasarkan parameter rekayasa geoteknik, namun mengabaikan dimensi sosial-ekologis jangka panjang (Humphreys, 2019; McDermott et al., 2022). Kondisi ini menciptakan kesenjangan antara legalitas teknis dan legitimasi sosial, di mana praktik yang sah secara hukum tetap dipersepsikan merugikan oleh komunitas terdampak. Ketidaksinkronan tersebut memperkuat argumen bahwa audit lingkungan yang berfokus pada kepatuhan prosedural belum mampu menangkap kompleksitas risiko tailing secara holistik.</w:t>
      </w:r>
    </w:p>
    <w:p w14:paraId="2609BD5C" w14:textId="77777777" w:rsidR="00915A5E" w:rsidRDefault="00915A5E" w:rsidP="00915A5E">
      <w:pPr>
        <w:pStyle w:val="ListParagraph"/>
        <w:tabs>
          <w:tab w:val="left" w:pos="0"/>
        </w:tabs>
        <w:suppressAutoHyphens/>
        <w:spacing w:after="0" w:line="360" w:lineRule="auto"/>
        <w:jc w:val="both"/>
        <w:rPr>
          <w:rFonts w:ascii="Adobe Garamond Pro" w:hAnsi="Adobe Garamond Pro" w:cs="Arial"/>
          <w:b/>
          <w:bCs/>
        </w:rPr>
      </w:pPr>
    </w:p>
    <w:p w14:paraId="42919DF8" w14:textId="72BF0AAF"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b/>
          <w:bCs/>
        </w:rPr>
      </w:pPr>
      <w:r w:rsidRPr="00915A5E">
        <w:rPr>
          <w:rFonts w:ascii="Adobe Garamond Pro" w:hAnsi="Adobe Garamond Pro" w:cs="Arial"/>
          <w:b/>
          <w:bCs/>
        </w:rPr>
        <w:lastRenderedPageBreak/>
        <w:t>Nickel Mining and Environmental Governance</w:t>
      </w:r>
    </w:p>
    <w:p w14:paraId="527D1C05"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rPr>
      </w:pPr>
      <w:r w:rsidRPr="00915A5E">
        <w:rPr>
          <w:rFonts w:ascii="Adobe Garamond Pro" w:hAnsi="Adobe Garamond Pro" w:cs="Arial"/>
        </w:rPr>
        <w:t>Selain tembaga dan emas, pertambangan nikel menjadi sektor strategis yang mengalami ekspansi pesat di Indonesia, terutama setelah kebijakan hilirisasi mineral. Peningkatan aktivitas pertambangan nikel telah dikaitkan dengan deforestasi, degradasi lahan, dan konflik pemanfaatan ruang, khususnya di wilayah Sulawesi dan Maluku Utara (Lo et al., 2024; Pattinussa, 2024). Berbeda dengan kasus Freeport yang didominasi isu tailing, dampak utama pertambangan nikel berkaitan dengan perubahan tutupan hutan dan kualitas perairan pesisir.</w:t>
      </w:r>
    </w:p>
    <w:p w14:paraId="7C6DC74E" w14:textId="65AA549E" w:rsidR="00E81244" w:rsidRPr="00915A5E" w:rsidRDefault="00E81244" w:rsidP="005E2E8C">
      <w:pPr>
        <w:pStyle w:val="ListParagraph"/>
        <w:tabs>
          <w:tab w:val="left" w:pos="0"/>
        </w:tabs>
        <w:suppressAutoHyphens/>
        <w:spacing w:after="0" w:line="360" w:lineRule="auto"/>
        <w:ind w:firstLine="720"/>
        <w:jc w:val="both"/>
        <w:rPr>
          <w:rFonts w:ascii="Adobe Garamond Pro" w:hAnsi="Adobe Garamond Pro" w:cs="Arial"/>
          <w:b/>
          <w:bCs/>
        </w:rPr>
      </w:pPr>
      <w:r w:rsidRPr="00915A5E">
        <w:rPr>
          <w:rFonts w:ascii="Adobe Garamond Pro" w:hAnsi="Adobe Garamond Pro" w:cs="Arial"/>
        </w:rPr>
        <w:t>Sejumlah studi menunjukkan bahwa tata kelola lingkungan pertambangan nikel menghadapi tantangan serius berupa lemahnya penegakan hukum, inkonsistensi perizinan, dan rendahnya transparansi pelaporan lingkungan (Rompas et al., 2022; Rahmat et al., 2020). Meskipun audit dan evaluasi lingkungan dilakukan, dampak ekologis aktual sering kali tidak tercermin secara memadai dalam laporan audit. Hal ini mempertegas adanya pola kegagalan tata kelola (governance failure) yang serupa dengan kasus pengelolaan tailing di Papua.</w:t>
      </w:r>
    </w:p>
    <w:p w14:paraId="38FD70FA"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b/>
          <w:bCs/>
        </w:rPr>
      </w:pPr>
      <w:r w:rsidRPr="00915A5E">
        <w:rPr>
          <w:rFonts w:ascii="Adobe Garamond Pro" w:hAnsi="Adobe Garamond Pro" w:cs="Arial"/>
          <w:b/>
          <w:bCs/>
        </w:rPr>
        <w:t>Human Security and Environmental Securitization</w:t>
      </w:r>
    </w:p>
    <w:p w14:paraId="09B3D3D7" w14:textId="77777777" w:rsidR="007B7C03" w:rsidRPr="00915A5E" w:rsidRDefault="00E81244" w:rsidP="00915A5E">
      <w:pPr>
        <w:pStyle w:val="ListParagraph"/>
        <w:tabs>
          <w:tab w:val="left" w:pos="0"/>
        </w:tabs>
        <w:suppressAutoHyphens/>
        <w:spacing w:after="0" w:line="360" w:lineRule="auto"/>
        <w:jc w:val="both"/>
        <w:rPr>
          <w:rFonts w:ascii="Adobe Garamond Pro" w:hAnsi="Adobe Garamond Pro" w:cs="Arial"/>
        </w:rPr>
      </w:pPr>
      <w:r w:rsidRPr="00915A5E">
        <w:rPr>
          <w:rFonts w:ascii="Adobe Garamond Pro" w:hAnsi="Adobe Garamond Pro" w:cs="Arial"/>
        </w:rPr>
        <w:t>Konsep keamanan manusia (human security) menempatkan lingkungan hidup sebagai fondasi utama bagi pemenuhan kebutuhan dasar manusia, termasuk pangan, kesehatan, dan keberlanjutan mata pencaharian. Dalam konteks pertambangan, degradasi lingkungan dipahami sebagai ancaman langsung terhadap keamanan manusia, terutama bagi komunitas lokal yang bergantung pada sumber daya alam (Astuti, 2018; Rachmawati, 2024).</w:t>
      </w:r>
    </w:p>
    <w:p w14:paraId="43AE84CB" w14:textId="4061F9AA" w:rsidR="00A67F58" w:rsidRPr="00915A5E" w:rsidRDefault="00E81244" w:rsidP="005E2E8C">
      <w:pPr>
        <w:pStyle w:val="ListParagraph"/>
        <w:tabs>
          <w:tab w:val="left" w:pos="0"/>
        </w:tabs>
        <w:suppressAutoHyphens/>
        <w:spacing w:after="0" w:line="360" w:lineRule="auto"/>
        <w:ind w:firstLine="720"/>
        <w:jc w:val="both"/>
        <w:rPr>
          <w:rFonts w:ascii="Adobe Garamond Pro" w:hAnsi="Adobe Garamond Pro" w:cs="Arial"/>
        </w:rPr>
      </w:pPr>
      <w:r w:rsidRPr="00915A5E">
        <w:rPr>
          <w:rFonts w:ascii="Adobe Garamond Pro" w:hAnsi="Adobe Garamond Pro" w:cs="Arial"/>
        </w:rPr>
        <w:t>Literatur terbaru mengadopsi pendekatan sekuritisasi lingkungan untuk menjelaskan bagaimana isu degradasi ekologis diangkat menjadi agenda keamanan oleh aktor non-negara, seperti masyarakat adat dan organisasi sipil (Prakoso et al., 2023). Proses sekuritisasi ini muncul ketika mekanisme regulatif dan audit formal gagal memberikan perlindungan yang efektif. Dengan demikian, sekuritisasi lingkungan dapat dipandang sebagai respons terhadap krisis legitimasi tata kelola lingkungan, di mana kepatuhan formal tidak sejalan dengan perlindungan substantif terhadap keamanan manusia.</w:t>
      </w:r>
    </w:p>
    <w:p w14:paraId="7A18CB38" w14:textId="241809A2" w:rsidR="005E2E8C" w:rsidRDefault="007672DE" w:rsidP="005E2E8C">
      <w:pPr>
        <w:pStyle w:val="ListParagraph"/>
        <w:numPr>
          <w:ilvl w:val="0"/>
          <w:numId w:val="11"/>
        </w:numPr>
        <w:tabs>
          <w:tab w:val="left" w:pos="360"/>
        </w:tabs>
        <w:suppressAutoHyphens/>
        <w:spacing w:after="0" w:line="360" w:lineRule="auto"/>
        <w:jc w:val="both"/>
        <w:rPr>
          <w:rFonts w:ascii="Arial" w:hAnsi="Arial" w:cs="Arial"/>
          <w:b/>
          <w:color w:val="2E74B5" w:themeColor="accent1" w:themeShade="BF"/>
        </w:rPr>
      </w:pPr>
      <w:r w:rsidRPr="007B7C03">
        <w:rPr>
          <w:rFonts w:ascii="Arial" w:hAnsi="Arial" w:cs="Arial"/>
          <w:b/>
          <w:color w:val="2E74B5" w:themeColor="accent1" w:themeShade="BF"/>
        </w:rPr>
        <w:t xml:space="preserve">METHOD, DATA, AND ANALYSIS </w:t>
      </w:r>
      <w:bookmarkStart w:id="1" w:name="_Hlk217595860"/>
    </w:p>
    <w:p w14:paraId="2714A527" w14:textId="77777777" w:rsidR="005E2E8C" w:rsidRPr="00915A5E" w:rsidRDefault="007B161C" w:rsidP="00915A5E">
      <w:pPr>
        <w:pStyle w:val="ListParagraph"/>
        <w:tabs>
          <w:tab w:val="left" w:pos="360"/>
        </w:tabs>
        <w:suppressAutoHyphens/>
        <w:spacing w:after="0" w:line="360" w:lineRule="auto"/>
        <w:jc w:val="both"/>
        <w:rPr>
          <w:rFonts w:ascii="Adobe Garamond Pro" w:hAnsi="Adobe Garamond Pro" w:cs="Arial"/>
        </w:rPr>
      </w:pPr>
      <w:r w:rsidRPr="00915A5E">
        <w:rPr>
          <w:rFonts w:ascii="Adobe Garamond Pro" w:hAnsi="Adobe Garamond Pro" w:cs="Arial"/>
        </w:rPr>
        <w:t>Penelitian ini menggunakan pendekatan Critical Narrative Review, yaitu metode kualitatif berbasis literatur yang bertujuan untuk mensintesis, menginterpretasikan, dan mengevaluasi temuan penelitian terdahulu secara kritis. Metode ini dipilih karena mampu mengintegrasikan kerangka teoretis dan bukti empiris lintas disiplin, khususnya dalam isu audit lingkungan, pertambangan, dan keamanan manusia.</w:t>
      </w:r>
    </w:p>
    <w:p w14:paraId="756CCEBA" w14:textId="77777777" w:rsidR="005E2E8C" w:rsidRPr="00915A5E" w:rsidRDefault="007B161C" w:rsidP="005E2E8C">
      <w:pPr>
        <w:pStyle w:val="ListParagraph"/>
        <w:tabs>
          <w:tab w:val="left" w:pos="360"/>
        </w:tabs>
        <w:suppressAutoHyphens/>
        <w:spacing w:after="0" w:line="360" w:lineRule="auto"/>
        <w:ind w:firstLine="357"/>
        <w:jc w:val="both"/>
        <w:rPr>
          <w:rFonts w:ascii="Adobe Garamond Pro" w:hAnsi="Adobe Garamond Pro" w:cs="Arial"/>
        </w:rPr>
      </w:pPr>
      <w:r w:rsidRPr="00915A5E">
        <w:rPr>
          <w:rFonts w:ascii="Adobe Garamond Pro" w:hAnsi="Adobe Garamond Pro" w:cs="Arial"/>
        </w:rPr>
        <w:t>Data penelitian diperoleh dari artikel ilmiah yang terindeks Scopus (Q1 dan Q2) serta jurnal nasional terakreditasi Sinta 1 dan Sinta 2. Proses penelusuran literatur dilakukan menggunakan kata kunci yang relevan dengan audit lingkungan, tailing, pertambangan nikel, dan keamanan manusia. Rentang publikasi yang dianalisis adalah 2010–2025.</w:t>
      </w:r>
    </w:p>
    <w:p w14:paraId="342F83F0" w14:textId="3254AC90" w:rsidR="00A67F58" w:rsidRPr="005E2E8C" w:rsidRDefault="007B161C" w:rsidP="005E2E8C">
      <w:pPr>
        <w:pStyle w:val="ListParagraph"/>
        <w:tabs>
          <w:tab w:val="left" w:pos="360"/>
        </w:tabs>
        <w:suppressAutoHyphens/>
        <w:spacing w:after="0" w:line="360" w:lineRule="auto"/>
        <w:ind w:firstLine="357"/>
        <w:jc w:val="both"/>
        <w:rPr>
          <w:rFonts w:ascii="Arial" w:hAnsi="Arial" w:cs="Arial"/>
          <w:b/>
          <w:color w:val="2E74B5" w:themeColor="accent1" w:themeShade="BF"/>
        </w:rPr>
      </w:pPr>
      <w:r w:rsidRPr="00915A5E">
        <w:rPr>
          <w:rFonts w:ascii="Adobe Garamond Pro" w:hAnsi="Adobe Garamond Pro" w:cs="Arial"/>
        </w:rPr>
        <w:lastRenderedPageBreak/>
        <w:t xml:space="preserve">Dari total 107 artikel yang teridentifikasi, dilakukan seleksi berdasarkan kriteria inklusi dan eksklusi, meliputi relevansi topik, kualitas jurnal, dan kelengkapan data. Proses seleksi menghasilkan 55 artikel sebagai sampel akhir. Analisis dilakukan dengan memetakan tren publikasi, metode penelitian, fokus pembahasan, serta kesenjangan temuan. Kerangka </w:t>
      </w:r>
      <w:bookmarkStart w:id="2" w:name="_Hlk217595881"/>
      <w:bookmarkEnd w:id="1"/>
      <w:r w:rsidRPr="00915A5E">
        <w:rPr>
          <w:rFonts w:ascii="Adobe Garamond Pro" w:hAnsi="Adobe Garamond Pro" w:cs="Arial"/>
        </w:rPr>
        <w:t>analisis penelitian ini mengacu pada teori kepatuhan regulatori, teori legitimasi, dan konsep keamanan manusia untuk menilai efektivitas audit lingkungan dalam konteks pertambangan Indonesia</w:t>
      </w:r>
      <w:bookmarkEnd w:id="2"/>
      <w:r w:rsidRPr="00D71A70">
        <w:rPr>
          <w:rFonts w:ascii="Arial" w:hAnsi="Arial" w:cs="Arial"/>
        </w:rPr>
        <w:t>.</w:t>
      </w:r>
      <w:r w:rsidR="00825BC7" w:rsidRPr="00D71A70">
        <w:rPr>
          <w:rFonts w:ascii="Arial" w:hAnsi="Arial" w:cs="Arial"/>
        </w:rPr>
        <w:t xml:space="preserve"> </w:t>
      </w:r>
    </w:p>
    <w:p w14:paraId="563A1057" w14:textId="49365D86" w:rsidR="005A39F4" w:rsidRPr="007B7C03" w:rsidRDefault="007672DE" w:rsidP="007B7C03">
      <w:pPr>
        <w:pStyle w:val="ListParagraph"/>
        <w:numPr>
          <w:ilvl w:val="0"/>
          <w:numId w:val="11"/>
        </w:numPr>
        <w:tabs>
          <w:tab w:val="left" w:pos="360"/>
        </w:tabs>
        <w:suppressAutoHyphens/>
        <w:spacing w:after="0" w:line="360" w:lineRule="auto"/>
        <w:jc w:val="both"/>
        <w:rPr>
          <w:rFonts w:ascii="Arial" w:hAnsi="Arial" w:cs="Arial"/>
          <w:b/>
          <w:color w:val="2E74B5" w:themeColor="accent1" w:themeShade="BF"/>
        </w:rPr>
      </w:pPr>
      <w:r w:rsidRPr="007B7C03">
        <w:rPr>
          <w:rFonts w:ascii="Arial" w:hAnsi="Arial" w:cs="Arial"/>
          <w:b/>
          <w:color w:val="2E74B5" w:themeColor="accent1" w:themeShade="BF"/>
        </w:rPr>
        <w:t xml:space="preserve">RESULT AND DISCUSSION </w:t>
      </w:r>
    </w:p>
    <w:p w14:paraId="5BBB9852" w14:textId="77777777" w:rsidR="005E2E8C" w:rsidRPr="00915A5E" w:rsidRDefault="005A39F4" w:rsidP="00915A5E">
      <w:pPr>
        <w:pStyle w:val="ListParagraph"/>
        <w:tabs>
          <w:tab w:val="left" w:pos="360"/>
        </w:tabs>
        <w:suppressAutoHyphens/>
        <w:spacing w:after="0" w:line="360" w:lineRule="auto"/>
        <w:jc w:val="both"/>
        <w:rPr>
          <w:rFonts w:ascii="Adobe Garamond Pro" w:hAnsi="Adobe Garamond Pro" w:cs="Arial"/>
          <w:b/>
          <w:color w:val="2E74B5" w:themeColor="accent1" w:themeShade="BF"/>
        </w:rPr>
      </w:pPr>
      <w:r w:rsidRPr="00915A5E">
        <w:rPr>
          <w:rFonts w:ascii="Adobe Garamond Pro" w:hAnsi="Adobe Garamond Pro" w:cs="Arial"/>
          <w:b/>
          <w:bCs/>
        </w:rPr>
        <w:t>Hasil Pemilihan Sampel Penelitian</w:t>
      </w:r>
    </w:p>
    <w:p w14:paraId="1C5BBE6F" w14:textId="77777777" w:rsidR="005E2E8C" w:rsidRPr="00915A5E" w:rsidRDefault="005A39F4" w:rsidP="005E2E8C">
      <w:pPr>
        <w:pStyle w:val="ListParagraph"/>
        <w:tabs>
          <w:tab w:val="left" w:pos="360"/>
        </w:tabs>
        <w:suppressAutoHyphens/>
        <w:spacing w:after="0" w:line="360" w:lineRule="auto"/>
        <w:ind w:firstLine="357"/>
        <w:jc w:val="both"/>
        <w:rPr>
          <w:rFonts w:ascii="Adobe Garamond Pro" w:hAnsi="Adobe Garamond Pro" w:cs="Arial"/>
        </w:rPr>
      </w:pPr>
      <w:r w:rsidRPr="00915A5E">
        <w:rPr>
          <w:rFonts w:ascii="Adobe Garamond Pro" w:hAnsi="Adobe Garamond Pro" w:cs="Arial"/>
        </w:rPr>
        <w:t>Penelitian ini menerapkan metode tinjauan naratif (</w:t>
      </w:r>
      <w:r w:rsidRPr="00915A5E">
        <w:rPr>
          <w:rFonts w:ascii="Adobe Garamond Pro" w:hAnsi="Adobe Garamond Pro" w:cs="Arial"/>
          <w:i/>
          <w:iCs/>
        </w:rPr>
        <w:t>narrative review</w:t>
      </w:r>
      <w:r w:rsidRPr="00915A5E">
        <w:rPr>
          <w:rFonts w:ascii="Adobe Garamond Pro" w:hAnsi="Adobe Garamond Pro" w:cs="Arial"/>
        </w:rPr>
        <w:t>) untuk menganalisis secara komprehensif perkembangan literatur mengenai audit lingkungan, manajemen tailing, dan keamanan manusia dalam sektor pertambangan di Indonesia. Pendekatan naratif dipilih untuk mensintesis berbagai temuan studi terdahulu serta mengevaluasi diskursus kebijakan yang berkembang secara kualitatif. Data penelitian dikumpulkan melalui penelusuran sistematis pada pangkalan data jurnal ilmiah internasional terindeks Scopus (Quartile 1 dan Quartile 2) serta jurnal nasional terakreditasi Sinta.</w:t>
      </w:r>
    </w:p>
    <w:p w14:paraId="1A921127" w14:textId="0832B523" w:rsidR="00A67F58" w:rsidRPr="00915A5E" w:rsidRDefault="005A39F4" w:rsidP="005E2E8C">
      <w:pPr>
        <w:pStyle w:val="ListParagraph"/>
        <w:tabs>
          <w:tab w:val="left" w:pos="360"/>
        </w:tabs>
        <w:suppressAutoHyphens/>
        <w:spacing w:after="0" w:line="360" w:lineRule="auto"/>
        <w:ind w:firstLine="357"/>
        <w:jc w:val="both"/>
        <w:rPr>
          <w:rFonts w:ascii="Adobe Garamond Pro" w:hAnsi="Adobe Garamond Pro" w:cs="Arial"/>
          <w:b/>
          <w:color w:val="2E74B5" w:themeColor="accent1" w:themeShade="BF"/>
        </w:rPr>
      </w:pPr>
      <w:r w:rsidRPr="00915A5E">
        <w:rPr>
          <w:rFonts w:ascii="Adobe Garamond Pro" w:hAnsi="Adobe Garamond Pro" w:cs="Arial"/>
        </w:rPr>
        <w:t xml:space="preserve"> Dari total populasi literatur yang teridentifikasi, peneliti melakukan seleksi ketat dengan menetapkan kriteria inklusi dan eksklusi guna menjamin relevansi data. Berdasarkan kriteria tersebut, sebanyak 65 artikel terpilih sebagai sampel akhir dar i total 65 artikel yang ditemukan. Sejumlah artikel dikeluarkan dari tinjauan karena tidak memenuhi parameter kualitas, seperti tidak terindeks pada kuartil yang dipersyaratkan atau memiliki fokus bahasan di luar cakupan dampak sosio-ekologis pertambangan nikel dan studi kasus tailing PT Freeport Indonesia. Gambar 1 menujukkan distribusi publikasi dari 65 artikel dari tahun 2012 hingga 2025.</w:t>
      </w:r>
    </w:p>
    <w:p w14:paraId="70A8D723" w14:textId="03E98E8C" w:rsidR="00A67F58" w:rsidRPr="00915A5E" w:rsidRDefault="00915A5E">
      <w:pPr>
        <w:tabs>
          <w:tab w:val="left" w:pos="360"/>
        </w:tabs>
        <w:spacing w:after="0" w:line="360" w:lineRule="auto"/>
        <w:ind w:left="360" w:hanging="360"/>
        <w:rPr>
          <w:rFonts w:ascii="Adobe Garamond Pro" w:hAnsi="Adobe Garamond Pro" w:cs="Arial"/>
          <w:b/>
          <w:bCs/>
          <w:iCs/>
          <w:color w:val="000000" w:themeColor="text1"/>
        </w:rPr>
      </w:pPr>
      <w:bookmarkStart w:id="3" w:name="_Hlk217596554"/>
      <w:r>
        <w:rPr>
          <w:rFonts w:ascii="Adobe Garamond Pro" w:hAnsi="Adobe Garamond Pro" w:cs="Arial"/>
          <w:b/>
          <w:bCs/>
          <w:iCs/>
          <w:color w:val="000000" w:themeColor="text1"/>
          <w:lang w:val="id-ID"/>
        </w:rPr>
        <w:tab/>
      </w:r>
      <w:r>
        <w:rPr>
          <w:rFonts w:ascii="Adobe Garamond Pro" w:hAnsi="Adobe Garamond Pro" w:cs="Arial"/>
          <w:b/>
          <w:bCs/>
          <w:iCs/>
          <w:color w:val="000000" w:themeColor="text1"/>
          <w:lang w:val="id-ID"/>
        </w:rPr>
        <w:tab/>
      </w:r>
      <w:r w:rsidR="00825BC7" w:rsidRPr="00915A5E">
        <w:rPr>
          <w:rFonts w:ascii="Adobe Garamond Pro" w:hAnsi="Adobe Garamond Pro" w:cs="Arial"/>
          <w:b/>
          <w:bCs/>
          <w:iCs/>
          <w:color w:val="000000" w:themeColor="text1"/>
          <w:lang w:val="id-ID"/>
        </w:rPr>
        <w:t>Table 1.</w:t>
      </w:r>
      <w:r w:rsidR="00825BC7" w:rsidRPr="00915A5E">
        <w:rPr>
          <w:rFonts w:ascii="Adobe Garamond Pro" w:hAnsi="Adobe Garamond Pro" w:cs="Arial"/>
          <w:bCs/>
          <w:iCs/>
          <w:color w:val="000000" w:themeColor="text1"/>
          <w:lang w:val="id-ID"/>
        </w:rPr>
        <w:t xml:space="preserve"> </w:t>
      </w:r>
      <w:r w:rsidR="005A39F4" w:rsidRPr="00915A5E">
        <w:rPr>
          <w:rFonts w:ascii="Adobe Garamond Pro" w:hAnsi="Adobe Garamond Pro" w:cs="Arial"/>
        </w:rPr>
        <w:t>Pemilihan Sampel Penelitian</w:t>
      </w:r>
    </w:p>
    <w:tbl>
      <w:tblPr>
        <w:tblStyle w:val="TableGrid"/>
        <w:tblW w:w="0" w:type="auto"/>
        <w:jc w:val="center"/>
        <w:tblLook w:val="04A0" w:firstRow="1" w:lastRow="0" w:firstColumn="1" w:lastColumn="0" w:noHBand="0" w:noVBand="1"/>
      </w:tblPr>
      <w:tblGrid>
        <w:gridCol w:w="562"/>
        <w:gridCol w:w="3963"/>
        <w:gridCol w:w="999"/>
        <w:gridCol w:w="992"/>
      </w:tblGrid>
      <w:tr w:rsidR="00A2271B" w:rsidRPr="00915A5E" w14:paraId="142EC0E3" w14:textId="77777777" w:rsidTr="00A2271B">
        <w:trPr>
          <w:jc w:val="center"/>
        </w:trPr>
        <w:tc>
          <w:tcPr>
            <w:tcW w:w="562" w:type="dxa"/>
          </w:tcPr>
          <w:bookmarkEnd w:id="3"/>
          <w:p w14:paraId="18524EFB" w14:textId="5169B90C" w:rsidR="00A2271B" w:rsidRPr="00915A5E" w:rsidRDefault="00A2271B" w:rsidP="00A2271B">
            <w:pPr>
              <w:tabs>
                <w:tab w:val="left" w:pos="360"/>
              </w:tabs>
              <w:spacing w:before="60" w:after="60" w:line="360" w:lineRule="auto"/>
              <w:rPr>
                <w:rFonts w:ascii="Adobe Garamond Pro" w:hAnsi="Adobe Garamond Pro" w:cs="Arial"/>
                <w:b/>
                <w:bCs/>
                <w:iCs/>
                <w:color w:val="000000" w:themeColor="text1"/>
                <w:lang w:val="id-ID"/>
              </w:rPr>
            </w:pPr>
            <w:r w:rsidRPr="00915A5E">
              <w:rPr>
                <w:rFonts w:ascii="Adobe Garamond Pro" w:hAnsi="Adobe Garamond Pro" w:cs="Arial"/>
              </w:rPr>
              <w:t>No</w:t>
            </w:r>
          </w:p>
        </w:tc>
        <w:tc>
          <w:tcPr>
            <w:tcW w:w="3963" w:type="dxa"/>
          </w:tcPr>
          <w:p w14:paraId="28ACB100" w14:textId="1EEF4AB1" w:rsidR="00A2271B" w:rsidRPr="00915A5E" w:rsidRDefault="00A2271B" w:rsidP="00A2271B">
            <w:pPr>
              <w:tabs>
                <w:tab w:val="left" w:pos="360"/>
              </w:tabs>
              <w:spacing w:before="60" w:after="60" w:line="360" w:lineRule="auto"/>
              <w:rPr>
                <w:rFonts w:ascii="Adobe Garamond Pro" w:hAnsi="Adobe Garamond Pro" w:cs="Arial"/>
                <w:b/>
                <w:bCs/>
                <w:iCs/>
                <w:color w:val="000000" w:themeColor="text1"/>
                <w:lang w:val="id-ID"/>
              </w:rPr>
            </w:pPr>
            <w:r w:rsidRPr="00915A5E">
              <w:rPr>
                <w:rFonts w:ascii="Adobe Garamond Pro" w:hAnsi="Adobe Garamond Pro" w:cs="Arial"/>
              </w:rPr>
              <w:t>Kriteria Pemilihan Sampel Penelitian</w:t>
            </w:r>
          </w:p>
        </w:tc>
        <w:tc>
          <w:tcPr>
            <w:tcW w:w="999" w:type="dxa"/>
          </w:tcPr>
          <w:p w14:paraId="040F2139" w14:textId="74329529" w:rsidR="00A2271B" w:rsidRPr="00915A5E" w:rsidRDefault="00A2271B" w:rsidP="00A2271B">
            <w:pPr>
              <w:tabs>
                <w:tab w:val="left" w:pos="360"/>
              </w:tabs>
              <w:spacing w:before="60" w:after="60" w:line="360" w:lineRule="auto"/>
              <w:rPr>
                <w:rFonts w:ascii="Adobe Garamond Pro" w:hAnsi="Adobe Garamond Pro" w:cs="Arial"/>
                <w:b/>
                <w:bCs/>
                <w:iCs/>
                <w:color w:val="000000" w:themeColor="text1"/>
                <w:lang w:val="id-ID"/>
              </w:rPr>
            </w:pPr>
            <w:r w:rsidRPr="00915A5E">
              <w:rPr>
                <w:rFonts w:ascii="Adobe Garamond Pro" w:hAnsi="Adobe Garamond Pro" w:cs="Arial"/>
              </w:rPr>
              <w:t>N</w:t>
            </w:r>
          </w:p>
        </w:tc>
        <w:tc>
          <w:tcPr>
            <w:tcW w:w="992" w:type="dxa"/>
          </w:tcPr>
          <w:p w14:paraId="537A417A" w14:textId="0629EB0B" w:rsidR="00A2271B" w:rsidRPr="00915A5E" w:rsidRDefault="00A2271B" w:rsidP="00A2271B">
            <w:pPr>
              <w:tabs>
                <w:tab w:val="left" w:pos="360"/>
              </w:tabs>
              <w:spacing w:before="60" w:after="60" w:line="360" w:lineRule="auto"/>
              <w:rPr>
                <w:rFonts w:ascii="Adobe Garamond Pro" w:hAnsi="Adobe Garamond Pro" w:cs="Arial"/>
                <w:b/>
                <w:bCs/>
                <w:iCs/>
                <w:color w:val="000000" w:themeColor="text1"/>
                <w:lang w:val="id-ID"/>
              </w:rPr>
            </w:pPr>
            <w:r w:rsidRPr="00915A5E">
              <w:rPr>
                <w:rFonts w:ascii="Adobe Garamond Pro" w:hAnsi="Adobe Garamond Pro" w:cs="Arial"/>
              </w:rPr>
              <w:t>%</w:t>
            </w:r>
          </w:p>
        </w:tc>
      </w:tr>
      <w:tr w:rsidR="00A2271B" w:rsidRPr="00915A5E" w14:paraId="39130CD0" w14:textId="77777777" w:rsidTr="00A2271B">
        <w:trPr>
          <w:jc w:val="center"/>
        </w:trPr>
        <w:tc>
          <w:tcPr>
            <w:tcW w:w="562" w:type="dxa"/>
          </w:tcPr>
          <w:p w14:paraId="60AA7697" w14:textId="30105ED4" w:rsidR="00A2271B" w:rsidRPr="00915A5E" w:rsidRDefault="00A2271B" w:rsidP="00A2271B">
            <w:pPr>
              <w:tabs>
                <w:tab w:val="left" w:pos="360"/>
              </w:tabs>
              <w:spacing w:before="60"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1</w:t>
            </w:r>
          </w:p>
        </w:tc>
        <w:tc>
          <w:tcPr>
            <w:tcW w:w="3963" w:type="dxa"/>
          </w:tcPr>
          <w:p w14:paraId="06946C8E" w14:textId="422B2B00" w:rsidR="00A2271B" w:rsidRPr="00915A5E" w:rsidRDefault="00A2271B" w:rsidP="00A2271B">
            <w:pPr>
              <w:tabs>
                <w:tab w:val="left" w:pos="360"/>
              </w:tabs>
              <w:spacing w:before="60"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Artikel pada website jurnal internasional terakreditasi Scopus Q1, Q2 dan Sinta1,2 (2010-2025)</w:t>
            </w:r>
          </w:p>
        </w:tc>
        <w:tc>
          <w:tcPr>
            <w:tcW w:w="999" w:type="dxa"/>
          </w:tcPr>
          <w:p w14:paraId="07153411" w14:textId="3C2E58A2" w:rsidR="00A2271B" w:rsidRPr="00915A5E" w:rsidRDefault="00A2271B" w:rsidP="00A2271B">
            <w:pPr>
              <w:tabs>
                <w:tab w:val="left" w:pos="360"/>
              </w:tabs>
              <w:spacing w:before="60"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55</w:t>
            </w:r>
          </w:p>
        </w:tc>
        <w:tc>
          <w:tcPr>
            <w:tcW w:w="992" w:type="dxa"/>
          </w:tcPr>
          <w:p w14:paraId="537B37A8" w14:textId="193AD5ED" w:rsidR="00A2271B" w:rsidRPr="00915A5E" w:rsidRDefault="00A2271B" w:rsidP="00A2271B">
            <w:pPr>
              <w:tabs>
                <w:tab w:val="left" w:pos="360"/>
              </w:tabs>
              <w:spacing w:before="60"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55,0</w:t>
            </w:r>
          </w:p>
        </w:tc>
      </w:tr>
      <w:tr w:rsidR="00A2271B" w:rsidRPr="00915A5E" w14:paraId="58389CCB" w14:textId="77777777" w:rsidTr="00A2271B">
        <w:trPr>
          <w:jc w:val="center"/>
        </w:trPr>
        <w:tc>
          <w:tcPr>
            <w:tcW w:w="562" w:type="dxa"/>
          </w:tcPr>
          <w:p w14:paraId="2ADF46CE" w14:textId="4CDB95BB"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2</w:t>
            </w:r>
          </w:p>
        </w:tc>
        <w:tc>
          <w:tcPr>
            <w:tcW w:w="3963" w:type="dxa"/>
          </w:tcPr>
          <w:p w14:paraId="52AC0C00" w14:textId="29B1D2A3"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Artikel yang redundan atau memiliki data yang sama</w:t>
            </w:r>
          </w:p>
        </w:tc>
        <w:tc>
          <w:tcPr>
            <w:tcW w:w="999" w:type="dxa"/>
          </w:tcPr>
          <w:p w14:paraId="2D553A90" w14:textId="313C09BC"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0</w:t>
            </w:r>
          </w:p>
        </w:tc>
        <w:tc>
          <w:tcPr>
            <w:tcW w:w="992" w:type="dxa"/>
          </w:tcPr>
          <w:p w14:paraId="39B462A1" w14:textId="412F74B0"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0,0</w:t>
            </w:r>
          </w:p>
        </w:tc>
      </w:tr>
      <w:tr w:rsidR="00A2271B" w:rsidRPr="00915A5E" w14:paraId="30E67F33" w14:textId="77777777" w:rsidTr="00A2271B">
        <w:trPr>
          <w:jc w:val="center"/>
        </w:trPr>
        <w:tc>
          <w:tcPr>
            <w:tcW w:w="562" w:type="dxa"/>
          </w:tcPr>
          <w:p w14:paraId="0EE3FD94" w14:textId="100832F9"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3</w:t>
            </w:r>
          </w:p>
        </w:tc>
        <w:tc>
          <w:tcPr>
            <w:tcW w:w="3963" w:type="dxa"/>
          </w:tcPr>
          <w:p w14:paraId="5B83C478" w14:textId="5C6E813E"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Artikel dengan data teknis yang tidak lengkap</w:t>
            </w:r>
          </w:p>
        </w:tc>
        <w:tc>
          <w:tcPr>
            <w:tcW w:w="999" w:type="dxa"/>
          </w:tcPr>
          <w:p w14:paraId="69152827" w14:textId="2389726F"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0</w:t>
            </w:r>
          </w:p>
        </w:tc>
        <w:tc>
          <w:tcPr>
            <w:tcW w:w="992" w:type="dxa"/>
          </w:tcPr>
          <w:p w14:paraId="6BB243F8" w14:textId="3D830D46"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0,0</w:t>
            </w:r>
          </w:p>
        </w:tc>
      </w:tr>
      <w:tr w:rsidR="00A2271B" w:rsidRPr="00915A5E" w14:paraId="32CEFE5B" w14:textId="77777777" w:rsidTr="00A2271B">
        <w:trPr>
          <w:trHeight w:val="937"/>
          <w:jc w:val="center"/>
        </w:trPr>
        <w:tc>
          <w:tcPr>
            <w:tcW w:w="562" w:type="dxa"/>
          </w:tcPr>
          <w:p w14:paraId="15AA95FB" w14:textId="2989B246"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4</w:t>
            </w:r>
          </w:p>
        </w:tc>
        <w:tc>
          <w:tcPr>
            <w:tcW w:w="3963" w:type="dxa"/>
          </w:tcPr>
          <w:p w14:paraId="4C48787A" w14:textId="7ACF1F15"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Artikel yang tidak sesuai dengan topik penelitian (Tahun &lt; 2020 atau di luar fokus nikel/tailing)</w:t>
            </w:r>
          </w:p>
        </w:tc>
        <w:tc>
          <w:tcPr>
            <w:tcW w:w="999" w:type="dxa"/>
          </w:tcPr>
          <w:p w14:paraId="1342C64D" w14:textId="4D49C248"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0</w:t>
            </w:r>
          </w:p>
        </w:tc>
        <w:tc>
          <w:tcPr>
            <w:tcW w:w="992" w:type="dxa"/>
          </w:tcPr>
          <w:p w14:paraId="03BE339F" w14:textId="5504DDFB" w:rsidR="00A2271B" w:rsidRPr="00915A5E" w:rsidRDefault="00A2271B" w:rsidP="00A2271B">
            <w:pPr>
              <w:tabs>
                <w:tab w:val="left" w:pos="360"/>
              </w:tabs>
              <w:spacing w:after="0" w:line="360" w:lineRule="auto"/>
              <w:ind w:left="360" w:hanging="360"/>
              <w:rPr>
                <w:rFonts w:ascii="Adobe Garamond Pro" w:hAnsi="Adobe Garamond Pro" w:cs="Arial"/>
                <w:bCs/>
                <w:iCs/>
                <w:color w:val="000000" w:themeColor="text1"/>
                <w:lang w:val="id-ID"/>
              </w:rPr>
            </w:pPr>
            <w:r w:rsidRPr="00915A5E">
              <w:rPr>
                <w:rFonts w:ascii="Adobe Garamond Pro" w:hAnsi="Adobe Garamond Pro" w:cs="Arial"/>
              </w:rPr>
              <w:t>35,0</w:t>
            </w:r>
          </w:p>
        </w:tc>
      </w:tr>
    </w:tbl>
    <w:p w14:paraId="746CBFCD" w14:textId="30C46B33" w:rsidR="00A67F58" w:rsidRPr="00915A5E" w:rsidRDefault="00825BC7">
      <w:pPr>
        <w:tabs>
          <w:tab w:val="left" w:pos="0"/>
          <w:tab w:val="left" w:pos="360"/>
        </w:tabs>
        <w:suppressAutoHyphens/>
        <w:spacing w:after="0" w:line="360" w:lineRule="auto"/>
        <w:jc w:val="both"/>
        <w:rPr>
          <w:rFonts w:ascii="Adobe Garamond Pro" w:hAnsi="Adobe Garamond Pro" w:cs="Arial"/>
          <w:color w:val="2E74B5" w:themeColor="accent1" w:themeShade="BF"/>
        </w:rPr>
      </w:pPr>
      <w:r w:rsidRPr="00915A5E">
        <w:rPr>
          <w:rFonts w:ascii="Adobe Garamond Pro" w:hAnsi="Adobe Garamond Pro" w:cs="Arial"/>
          <w:color w:val="2E74B5" w:themeColor="accent1" w:themeShade="BF"/>
        </w:rPr>
        <w:t>Source:</w:t>
      </w:r>
      <w:r w:rsidR="00724D19" w:rsidRPr="00915A5E">
        <w:rPr>
          <w:rFonts w:ascii="Adobe Garamond Pro" w:hAnsi="Adobe Garamond Pro" w:cs="Arial"/>
          <w:color w:val="2E74B5" w:themeColor="accent1" w:themeShade="BF"/>
        </w:rPr>
        <w:t xml:space="preserve"> Data penelitian</w:t>
      </w:r>
    </w:p>
    <w:p w14:paraId="41FCAD4B" w14:textId="64A9EA74" w:rsidR="005A39F4" w:rsidRPr="00915A5E" w:rsidRDefault="005A39F4" w:rsidP="005A39F4">
      <w:pPr>
        <w:spacing w:line="276" w:lineRule="auto"/>
        <w:rPr>
          <w:rFonts w:ascii="Adobe Garamond Pro" w:hAnsi="Adobe Garamond Pro" w:cs="Arial"/>
        </w:rPr>
      </w:pPr>
      <w:r w:rsidRPr="00915A5E">
        <w:rPr>
          <w:rFonts w:ascii="Adobe Garamond Pro" w:hAnsi="Adobe Garamond Pro" w:cs="Arial"/>
          <w:b/>
          <w:bCs/>
        </w:rPr>
        <w:lastRenderedPageBreak/>
        <w:t>Tabel 2</w:t>
      </w:r>
      <w:r w:rsidR="00915A5E">
        <w:rPr>
          <w:rFonts w:ascii="Adobe Garamond Pro" w:hAnsi="Adobe Garamond Pro" w:cs="Arial"/>
          <w:b/>
          <w:bCs/>
        </w:rPr>
        <w:t>.</w:t>
      </w:r>
      <w:r w:rsidRPr="00915A5E">
        <w:rPr>
          <w:rFonts w:ascii="Adobe Garamond Pro" w:hAnsi="Adobe Garamond Pro" w:cs="Arial"/>
        </w:rPr>
        <w:t xml:space="preserve"> Audit Lingkungan, Limbah Tailing, dan Keamanan Manusia dalam Pertambangan Indonesia</w:t>
      </w:r>
      <w:r w:rsidRPr="00915A5E">
        <w:rPr>
          <w:rFonts w:ascii="Adobe Garamond Pro" w:hAnsi="Adobe Garamond Pro" w:cs="Arial"/>
          <w:b/>
          <w:bCs/>
        </w:rPr>
        <w:t xml:space="preserve"> </w:t>
      </w:r>
      <w:r w:rsidRPr="00915A5E">
        <w:rPr>
          <w:rFonts w:ascii="Adobe Garamond Pro" w:hAnsi="Adobe Garamond Pro" w:cs="Arial"/>
        </w:rPr>
        <w:t>berdasarkan nama jurnal</w:t>
      </w:r>
    </w:p>
    <w:tbl>
      <w:tblPr>
        <w:tblStyle w:val="TableGrid"/>
        <w:tblW w:w="0" w:type="auto"/>
        <w:tblLook w:val="04A0" w:firstRow="1" w:lastRow="0" w:firstColumn="1" w:lastColumn="0" w:noHBand="0" w:noVBand="1"/>
      </w:tblPr>
      <w:tblGrid>
        <w:gridCol w:w="686"/>
        <w:gridCol w:w="1963"/>
        <w:gridCol w:w="19"/>
        <w:gridCol w:w="1347"/>
        <w:gridCol w:w="19"/>
        <w:gridCol w:w="1467"/>
        <w:gridCol w:w="1744"/>
        <w:gridCol w:w="1816"/>
      </w:tblGrid>
      <w:tr w:rsidR="00676004" w:rsidRPr="00915A5E" w14:paraId="7720D179" w14:textId="77777777" w:rsidTr="00676004">
        <w:trPr>
          <w:trHeight w:val="330"/>
        </w:trPr>
        <w:tc>
          <w:tcPr>
            <w:tcW w:w="686" w:type="dxa"/>
            <w:vMerge w:val="restart"/>
            <w:tcBorders>
              <w:top w:val="single" w:sz="4" w:space="0" w:color="auto"/>
              <w:left w:val="single" w:sz="4" w:space="0" w:color="auto"/>
            </w:tcBorders>
          </w:tcPr>
          <w:p w14:paraId="661B9E0B" w14:textId="77777777"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No</w:t>
            </w:r>
          </w:p>
        </w:tc>
        <w:tc>
          <w:tcPr>
            <w:tcW w:w="1982" w:type="dxa"/>
            <w:gridSpan w:val="2"/>
            <w:vMerge w:val="restart"/>
            <w:tcBorders>
              <w:top w:val="single" w:sz="4" w:space="0" w:color="auto"/>
            </w:tcBorders>
          </w:tcPr>
          <w:p w14:paraId="4C8B09A7" w14:textId="77777777"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Nama Jurnal</w:t>
            </w:r>
          </w:p>
        </w:tc>
        <w:tc>
          <w:tcPr>
            <w:tcW w:w="2833" w:type="dxa"/>
            <w:gridSpan w:val="3"/>
            <w:tcBorders>
              <w:top w:val="single" w:sz="4" w:space="0" w:color="auto"/>
            </w:tcBorders>
          </w:tcPr>
          <w:p w14:paraId="0AB5B7A3" w14:textId="7BA866C2"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Tahun Terbit</w:t>
            </w:r>
          </w:p>
        </w:tc>
        <w:tc>
          <w:tcPr>
            <w:tcW w:w="1744" w:type="dxa"/>
            <w:vMerge w:val="restart"/>
            <w:tcBorders>
              <w:top w:val="single" w:sz="4" w:space="0" w:color="auto"/>
            </w:tcBorders>
          </w:tcPr>
          <w:p w14:paraId="7852A9B3" w14:textId="77777777"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Total Artikel</w:t>
            </w:r>
          </w:p>
        </w:tc>
        <w:tc>
          <w:tcPr>
            <w:tcW w:w="1816" w:type="dxa"/>
            <w:vMerge w:val="restart"/>
            <w:tcBorders>
              <w:top w:val="single" w:sz="4" w:space="0" w:color="auto"/>
              <w:right w:val="single" w:sz="4" w:space="0" w:color="auto"/>
            </w:tcBorders>
          </w:tcPr>
          <w:p w14:paraId="16452ECB" w14:textId="77777777"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Persentase (%)</w:t>
            </w:r>
          </w:p>
        </w:tc>
      </w:tr>
      <w:tr w:rsidR="00676004" w:rsidRPr="00915A5E" w14:paraId="19848E89" w14:textId="77777777" w:rsidTr="00676004">
        <w:trPr>
          <w:trHeight w:val="570"/>
        </w:trPr>
        <w:tc>
          <w:tcPr>
            <w:tcW w:w="686" w:type="dxa"/>
            <w:vMerge/>
            <w:tcBorders>
              <w:left w:val="single" w:sz="4" w:space="0" w:color="auto"/>
            </w:tcBorders>
          </w:tcPr>
          <w:p w14:paraId="4A2C3132" w14:textId="77777777" w:rsidR="00676004" w:rsidRPr="00915A5E" w:rsidRDefault="00676004" w:rsidP="0085659B">
            <w:pPr>
              <w:spacing w:line="276" w:lineRule="auto"/>
              <w:jc w:val="center"/>
              <w:rPr>
                <w:rFonts w:ascii="Adobe Garamond Pro" w:hAnsi="Adobe Garamond Pro" w:cs="Arial"/>
              </w:rPr>
            </w:pPr>
          </w:p>
        </w:tc>
        <w:tc>
          <w:tcPr>
            <w:tcW w:w="1982" w:type="dxa"/>
            <w:gridSpan w:val="2"/>
            <w:vMerge/>
          </w:tcPr>
          <w:p w14:paraId="1C682E26" w14:textId="77777777" w:rsidR="00676004" w:rsidRPr="00915A5E" w:rsidRDefault="00676004" w:rsidP="0085659B">
            <w:pPr>
              <w:spacing w:line="276" w:lineRule="auto"/>
              <w:jc w:val="center"/>
              <w:rPr>
                <w:rFonts w:ascii="Adobe Garamond Pro" w:hAnsi="Adobe Garamond Pro" w:cs="Arial"/>
              </w:rPr>
            </w:pPr>
          </w:p>
        </w:tc>
        <w:tc>
          <w:tcPr>
            <w:tcW w:w="1366" w:type="dxa"/>
            <w:gridSpan w:val="2"/>
            <w:tcBorders>
              <w:top w:val="single" w:sz="4" w:space="0" w:color="auto"/>
            </w:tcBorders>
          </w:tcPr>
          <w:p w14:paraId="63BF1941" w14:textId="1B1BCA4D" w:rsidR="00676004" w:rsidRPr="00915A5E" w:rsidRDefault="00676004" w:rsidP="0085659B">
            <w:pPr>
              <w:spacing w:line="276" w:lineRule="auto"/>
              <w:jc w:val="center"/>
              <w:rPr>
                <w:rFonts w:ascii="Adobe Garamond Pro" w:hAnsi="Adobe Garamond Pro" w:cs="Arial"/>
              </w:rPr>
            </w:pPr>
            <w:r w:rsidRPr="00915A5E">
              <w:rPr>
                <w:rFonts w:ascii="Adobe Garamond Pro" w:hAnsi="Adobe Garamond Pro" w:cs="Arial"/>
              </w:rPr>
              <w:t>2010-2019</w:t>
            </w:r>
          </w:p>
        </w:tc>
        <w:tc>
          <w:tcPr>
            <w:tcW w:w="1467" w:type="dxa"/>
            <w:tcBorders>
              <w:top w:val="single" w:sz="4" w:space="0" w:color="auto"/>
            </w:tcBorders>
          </w:tcPr>
          <w:p w14:paraId="3D5F0D62" w14:textId="77777777" w:rsidR="00676004" w:rsidRPr="00915A5E" w:rsidRDefault="00676004" w:rsidP="00676004">
            <w:pPr>
              <w:spacing w:line="276" w:lineRule="auto"/>
              <w:ind w:left="102"/>
              <w:jc w:val="center"/>
              <w:rPr>
                <w:rFonts w:ascii="Adobe Garamond Pro" w:hAnsi="Adobe Garamond Pro" w:cs="Arial"/>
              </w:rPr>
            </w:pPr>
            <w:r w:rsidRPr="00915A5E">
              <w:rPr>
                <w:rFonts w:ascii="Adobe Garamond Pro" w:hAnsi="Adobe Garamond Pro" w:cs="Arial"/>
              </w:rPr>
              <w:t>2020-2025</w:t>
            </w:r>
          </w:p>
        </w:tc>
        <w:tc>
          <w:tcPr>
            <w:tcW w:w="1744" w:type="dxa"/>
            <w:vMerge/>
          </w:tcPr>
          <w:p w14:paraId="3538CE52" w14:textId="17FF6F57" w:rsidR="00676004" w:rsidRPr="00915A5E" w:rsidRDefault="00676004" w:rsidP="0085659B">
            <w:pPr>
              <w:spacing w:line="276" w:lineRule="auto"/>
              <w:jc w:val="center"/>
              <w:rPr>
                <w:rFonts w:ascii="Adobe Garamond Pro" w:hAnsi="Adobe Garamond Pro" w:cs="Arial"/>
              </w:rPr>
            </w:pPr>
          </w:p>
        </w:tc>
        <w:tc>
          <w:tcPr>
            <w:tcW w:w="1816" w:type="dxa"/>
            <w:vMerge/>
            <w:tcBorders>
              <w:right w:val="single" w:sz="4" w:space="0" w:color="auto"/>
            </w:tcBorders>
          </w:tcPr>
          <w:p w14:paraId="5F4FF55B" w14:textId="77777777" w:rsidR="00676004" w:rsidRPr="00915A5E" w:rsidRDefault="00676004" w:rsidP="0085659B">
            <w:pPr>
              <w:spacing w:line="276" w:lineRule="auto"/>
              <w:jc w:val="center"/>
              <w:rPr>
                <w:rFonts w:ascii="Adobe Garamond Pro" w:hAnsi="Adobe Garamond Pro" w:cs="Arial"/>
              </w:rPr>
            </w:pPr>
          </w:p>
        </w:tc>
      </w:tr>
      <w:tr w:rsidR="00A2271B" w:rsidRPr="00915A5E" w14:paraId="53451361" w14:textId="77777777" w:rsidTr="00676004">
        <w:tc>
          <w:tcPr>
            <w:tcW w:w="686" w:type="dxa"/>
            <w:tcBorders>
              <w:left w:val="single" w:sz="4" w:space="0" w:color="auto"/>
              <w:bottom w:val="single" w:sz="4" w:space="0" w:color="auto"/>
            </w:tcBorders>
          </w:tcPr>
          <w:p w14:paraId="411103D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982" w:type="dxa"/>
            <w:gridSpan w:val="2"/>
            <w:tcBorders>
              <w:bottom w:val="single" w:sz="4" w:space="0" w:color="auto"/>
            </w:tcBorders>
          </w:tcPr>
          <w:p w14:paraId="44CD5D1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Journal of Environment and Sustainability</w:t>
            </w:r>
          </w:p>
        </w:tc>
        <w:tc>
          <w:tcPr>
            <w:tcW w:w="1366" w:type="dxa"/>
            <w:gridSpan w:val="2"/>
            <w:tcBorders>
              <w:bottom w:val="single" w:sz="4" w:space="0" w:color="auto"/>
            </w:tcBorders>
          </w:tcPr>
          <w:p w14:paraId="1579439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Borders>
              <w:bottom w:val="single" w:sz="4" w:space="0" w:color="auto"/>
            </w:tcBorders>
          </w:tcPr>
          <w:p w14:paraId="682240C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744" w:type="dxa"/>
            <w:tcBorders>
              <w:bottom w:val="single" w:sz="4" w:space="0" w:color="auto"/>
            </w:tcBorders>
          </w:tcPr>
          <w:p w14:paraId="051C257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816" w:type="dxa"/>
            <w:tcBorders>
              <w:bottom w:val="single" w:sz="4" w:space="0" w:color="auto"/>
              <w:right w:val="single" w:sz="4" w:space="0" w:color="auto"/>
            </w:tcBorders>
          </w:tcPr>
          <w:p w14:paraId="23D5A31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w:t>
            </w:r>
          </w:p>
          <w:p w14:paraId="55DE7BED" w14:textId="77777777" w:rsidR="00A2271B" w:rsidRPr="00915A5E" w:rsidRDefault="00A2271B" w:rsidP="0085659B">
            <w:pPr>
              <w:spacing w:line="276" w:lineRule="auto"/>
              <w:jc w:val="center"/>
              <w:rPr>
                <w:rFonts w:ascii="Adobe Garamond Pro" w:hAnsi="Adobe Garamond Pro" w:cs="Arial"/>
              </w:rPr>
            </w:pPr>
          </w:p>
        </w:tc>
      </w:tr>
      <w:tr w:rsidR="00A2271B" w:rsidRPr="00915A5E" w14:paraId="5153EA2D" w14:textId="77777777" w:rsidTr="00676004">
        <w:tc>
          <w:tcPr>
            <w:tcW w:w="686" w:type="dxa"/>
            <w:tcBorders>
              <w:top w:val="single" w:sz="4" w:space="0" w:color="auto"/>
            </w:tcBorders>
          </w:tcPr>
          <w:p w14:paraId="1C0559B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c>
          <w:tcPr>
            <w:tcW w:w="1982" w:type="dxa"/>
            <w:gridSpan w:val="2"/>
            <w:tcBorders>
              <w:top w:val="single" w:sz="4" w:space="0" w:color="auto"/>
            </w:tcBorders>
          </w:tcPr>
          <w:p w14:paraId="145077E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Environmental Research Letters</w:t>
            </w:r>
          </w:p>
        </w:tc>
        <w:tc>
          <w:tcPr>
            <w:tcW w:w="1366" w:type="dxa"/>
            <w:gridSpan w:val="2"/>
            <w:tcBorders>
              <w:top w:val="single" w:sz="4" w:space="0" w:color="auto"/>
            </w:tcBorders>
          </w:tcPr>
          <w:p w14:paraId="6E14EDB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Borders>
              <w:top w:val="single" w:sz="4" w:space="0" w:color="auto"/>
            </w:tcBorders>
          </w:tcPr>
          <w:p w14:paraId="33F0C85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Borders>
              <w:top w:val="single" w:sz="4" w:space="0" w:color="auto"/>
            </w:tcBorders>
          </w:tcPr>
          <w:p w14:paraId="3743A93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Borders>
              <w:top w:val="single" w:sz="4" w:space="0" w:color="auto"/>
            </w:tcBorders>
          </w:tcPr>
          <w:p w14:paraId="39BFB8D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p w14:paraId="0B22CE60" w14:textId="77777777" w:rsidR="00A2271B" w:rsidRPr="00915A5E" w:rsidRDefault="00A2271B" w:rsidP="0085659B">
            <w:pPr>
              <w:spacing w:line="276" w:lineRule="auto"/>
              <w:jc w:val="center"/>
              <w:rPr>
                <w:rFonts w:ascii="Adobe Garamond Pro" w:hAnsi="Adobe Garamond Pro" w:cs="Arial"/>
              </w:rPr>
            </w:pPr>
          </w:p>
        </w:tc>
      </w:tr>
      <w:tr w:rsidR="00A2271B" w:rsidRPr="00915A5E" w14:paraId="320250E4" w14:textId="77777777" w:rsidTr="00676004">
        <w:tc>
          <w:tcPr>
            <w:tcW w:w="686" w:type="dxa"/>
          </w:tcPr>
          <w:p w14:paraId="1B4BAE1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982" w:type="dxa"/>
            <w:gridSpan w:val="2"/>
          </w:tcPr>
          <w:p w14:paraId="416392B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Ilmu Sosial dan Politik</w:t>
            </w:r>
          </w:p>
        </w:tc>
        <w:tc>
          <w:tcPr>
            <w:tcW w:w="1366" w:type="dxa"/>
            <w:gridSpan w:val="2"/>
          </w:tcPr>
          <w:p w14:paraId="2400137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p w14:paraId="31F8147A" w14:textId="77777777" w:rsidR="00A2271B" w:rsidRPr="00915A5E" w:rsidRDefault="00A2271B" w:rsidP="0085659B">
            <w:pPr>
              <w:spacing w:line="276" w:lineRule="auto"/>
              <w:jc w:val="center"/>
              <w:rPr>
                <w:rFonts w:ascii="Adobe Garamond Pro" w:hAnsi="Adobe Garamond Pro" w:cs="Arial"/>
              </w:rPr>
            </w:pPr>
          </w:p>
        </w:tc>
        <w:tc>
          <w:tcPr>
            <w:tcW w:w="1467" w:type="dxa"/>
          </w:tcPr>
          <w:p w14:paraId="1536480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5E76788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1FBC00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5B4CA05B" w14:textId="77777777" w:rsidTr="00676004">
        <w:tc>
          <w:tcPr>
            <w:tcW w:w="686" w:type="dxa"/>
          </w:tcPr>
          <w:p w14:paraId="1DE602D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w:t>
            </w:r>
          </w:p>
        </w:tc>
        <w:tc>
          <w:tcPr>
            <w:tcW w:w="1982" w:type="dxa"/>
            <w:gridSpan w:val="2"/>
          </w:tcPr>
          <w:p w14:paraId="1C07AB9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Kelautan Nasional</w:t>
            </w:r>
          </w:p>
          <w:p w14:paraId="6D4E0C74"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6640A71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5957EFC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1D979DB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C8AFE5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25299E98" w14:textId="77777777" w:rsidTr="00676004">
        <w:tc>
          <w:tcPr>
            <w:tcW w:w="686" w:type="dxa"/>
          </w:tcPr>
          <w:p w14:paraId="25B09ED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5</w:t>
            </w:r>
          </w:p>
        </w:tc>
        <w:tc>
          <w:tcPr>
            <w:tcW w:w="1982" w:type="dxa"/>
            <w:gridSpan w:val="2"/>
          </w:tcPr>
          <w:p w14:paraId="03CAB1D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Journal of International Relations</w:t>
            </w:r>
          </w:p>
        </w:tc>
        <w:tc>
          <w:tcPr>
            <w:tcW w:w="1366" w:type="dxa"/>
            <w:gridSpan w:val="2"/>
          </w:tcPr>
          <w:p w14:paraId="12164C9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7C86215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40BAD01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9CCE99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0EABDA81" w14:textId="77777777" w:rsidTr="00676004">
        <w:tc>
          <w:tcPr>
            <w:tcW w:w="686" w:type="dxa"/>
          </w:tcPr>
          <w:p w14:paraId="48B6002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6</w:t>
            </w:r>
          </w:p>
        </w:tc>
        <w:tc>
          <w:tcPr>
            <w:tcW w:w="1982" w:type="dxa"/>
            <w:gridSpan w:val="2"/>
          </w:tcPr>
          <w:p w14:paraId="0931280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Journal of Economics Development Issues</w:t>
            </w:r>
          </w:p>
        </w:tc>
        <w:tc>
          <w:tcPr>
            <w:tcW w:w="1366" w:type="dxa"/>
            <w:gridSpan w:val="2"/>
          </w:tcPr>
          <w:p w14:paraId="3DD91CB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4D2F443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959B4F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7181767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1178E202" w14:textId="77777777" w:rsidTr="00676004">
        <w:tc>
          <w:tcPr>
            <w:tcW w:w="686" w:type="dxa"/>
          </w:tcPr>
          <w:p w14:paraId="71EA3DC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7</w:t>
            </w:r>
          </w:p>
        </w:tc>
        <w:tc>
          <w:tcPr>
            <w:tcW w:w="1982" w:type="dxa"/>
            <w:gridSpan w:val="2"/>
          </w:tcPr>
          <w:p w14:paraId="4251275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Indonesia Sosial Sains</w:t>
            </w:r>
          </w:p>
          <w:p w14:paraId="3E5E9D27"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4EBFC0A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2D4DA3B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168DE13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C06F1D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48D270B" w14:textId="77777777" w:rsidTr="00676004">
        <w:tc>
          <w:tcPr>
            <w:tcW w:w="686" w:type="dxa"/>
          </w:tcPr>
          <w:p w14:paraId="658327D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8</w:t>
            </w:r>
          </w:p>
        </w:tc>
        <w:tc>
          <w:tcPr>
            <w:tcW w:w="1982" w:type="dxa"/>
            <w:gridSpan w:val="2"/>
          </w:tcPr>
          <w:p w14:paraId="739C370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ISHEL(Int.Seminar on Health and Environmental Life)</w:t>
            </w:r>
          </w:p>
          <w:p w14:paraId="4AF7CBCD"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1F52639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36C39C2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94B620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2BFBC3A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5FFB6204" w14:textId="77777777" w:rsidTr="00676004">
        <w:tc>
          <w:tcPr>
            <w:tcW w:w="686" w:type="dxa"/>
          </w:tcPr>
          <w:p w14:paraId="661FC13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9</w:t>
            </w:r>
          </w:p>
        </w:tc>
        <w:tc>
          <w:tcPr>
            <w:tcW w:w="1982" w:type="dxa"/>
            <w:gridSpan w:val="2"/>
          </w:tcPr>
          <w:p w14:paraId="6B451EE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Pengelolaan Lingkungan / ITB</w:t>
            </w:r>
          </w:p>
          <w:p w14:paraId="55BF19F2"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1F53425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5824CCE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16D4ECA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1882B8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B6C66B5" w14:textId="77777777" w:rsidTr="00676004">
        <w:tc>
          <w:tcPr>
            <w:tcW w:w="686" w:type="dxa"/>
          </w:tcPr>
          <w:p w14:paraId="49EC0A3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10</w:t>
            </w:r>
          </w:p>
        </w:tc>
        <w:tc>
          <w:tcPr>
            <w:tcW w:w="1982" w:type="dxa"/>
            <w:gridSpan w:val="2"/>
          </w:tcPr>
          <w:p w14:paraId="7F50F8A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Int. Journal of Mining and Mineral Engineering</w:t>
            </w:r>
          </w:p>
          <w:p w14:paraId="60613274"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0BD9871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3320A6B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744" w:type="dxa"/>
          </w:tcPr>
          <w:p w14:paraId="06A7C1A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w:t>
            </w:r>
          </w:p>
        </w:tc>
        <w:tc>
          <w:tcPr>
            <w:tcW w:w="1816" w:type="dxa"/>
          </w:tcPr>
          <w:p w14:paraId="6CBBCB1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5%</w:t>
            </w:r>
          </w:p>
        </w:tc>
      </w:tr>
      <w:tr w:rsidR="00A2271B" w:rsidRPr="00915A5E" w14:paraId="0E3D93C5" w14:textId="77777777" w:rsidTr="00676004">
        <w:tc>
          <w:tcPr>
            <w:tcW w:w="686" w:type="dxa"/>
          </w:tcPr>
          <w:p w14:paraId="08AD371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lastRenderedPageBreak/>
              <w:t>11</w:t>
            </w:r>
          </w:p>
        </w:tc>
        <w:tc>
          <w:tcPr>
            <w:tcW w:w="1982" w:type="dxa"/>
            <w:gridSpan w:val="2"/>
          </w:tcPr>
          <w:p w14:paraId="782791F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Journal of Law and Sustainable Development</w:t>
            </w:r>
          </w:p>
          <w:p w14:paraId="2117D9C5"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2B0A2C0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404759F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C5226C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46A66AE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p w14:paraId="7960B646" w14:textId="77777777" w:rsidR="00A2271B" w:rsidRPr="00915A5E" w:rsidRDefault="00A2271B" w:rsidP="0085659B">
            <w:pPr>
              <w:spacing w:line="276" w:lineRule="auto"/>
              <w:jc w:val="center"/>
              <w:rPr>
                <w:rFonts w:ascii="Adobe Garamond Pro" w:hAnsi="Adobe Garamond Pro" w:cs="Arial"/>
              </w:rPr>
            </w:pPr>
          </w:p>
        </w:tc>
      </w:tr>
      <w:tr w:rsidR="00A2271B" w:rsidRPr="00915A5E" w14:paraId="403DF432" w14:textId="77777777" w:rsidTr="00676004">
        <w:tc>
          <w:tcPr>
            <w:tcW w:w="686" w:type="dxa"/>
          </w:tcPr>
          <w:p w14:paraId="6B5A954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12</w:t>
            </w:r>
          </w:p>
        </w:tc>
        <w:tc>
          <w:tcPr>
            <w:tcW w:w="1982" w:type="dxa"/>
            <w:gridSpan w:val="2"/>
          </w:tcPr>
          <w:p w14:paraId="0D1CAA4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The International Journal of Human Rights</w:t>
            </w:r>
          </w:p>
          <w:p w14:paraId="1FBDC468"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4E24965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6CA9135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D57311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50231D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E9AB11A" w14:textId="77777777" w:rsidTr="00676004">
        <w:tc>
          <w:tcPr>
            <w:tcW w:w="686" w:type="dxa"/>
          </w:tcPr>
          <w:p w14:paraId="23CDF0C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13</w:t>
            </w:r>
          </w:p>
        </w:tc>
        <w:tc>
          <w:tcPr>
            <w:tcW w:w="1982" w:type="dxa"/>
            <w:gridSpan w:val="2"/>
          </w:tcPr>
          <w:p w14:paraId="2E9A576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Universitas Negeri Jakarta</w:t>
            </w:r>
          </w:p>
        </w:tc>
        <w:tc>
          <w:tcPr>
            <w:tcW w:w="1366" w:type="dxa"/>
            <w:gridSpan w:val="2"/>
          </w:tcPr>
          <w:p w14:paraId="72191B0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482FF13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7245415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65E789B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293C8301" w14:textId="77777777" w:rsidTr="00676004">
        <w:tc>
          <w:tcPr>
            <w:tcW w:w="686" w:type="dxa"/>
          </w:tcPr>
          <w:p w14:paraId="0F89362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14</w:t>
            </w:r>
          </w:p>
        </w:tc>
        <w:tc>
          <w:tcPr>
            <w:tcW w:w="1982" w:type="dxa"/>
            <w:gridSpan w:val="2"/>
          </w:tcPr>
          <w:p w14:paraId="1DEFF60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International Journal of Eco-Social Studies</w:t>
            </w:r>
          </w:p>
          <w:p w14:paraId="19BF0FD1"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51CE762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78979CF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6B6DB80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6B39A79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p w14:paraId="1DDFAEAA" w14:textId="77777777" w:rsidR="00A2271B" w:rsidRPr="00915A5E" w:rsidRDefault="00A2271B" w:rsidP="0085659B">
            <w:pPr>
              <w:spacing w:line="276" w:lineRule="auto"/>
              <w:jc w:val="center"/>
              <w:rPr>
                <w:rFonts w:ascii="Adobe Garamond Pro" w:hAnsi="Adobe Garamond Pro" w:cs="Arial"/>
              </w:rPr>
            </w:pPr>
          </w:p>
        </w:tc>
      </w:tr>
      <w:tr w:rsidR="00A2271B" w:rsidRPr="00915A5E" w14:paraId="0A6E5C50" w14:textId="77777777" w:rsidTr="00676004">
        <w:tc>
          <w:tcPr>
            <w:tcW w:w="686" w:type="dxa"/>
          </w:tcPr>
          <w:p w14:paraId="117A8FA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15</w:t>
            </w:r>
          </w:p>
        </w:tc>
        <w:tc>
          <w:tcPr>
            <w:tcW w:w="1982" w:type="dxa"/>
            <w:gridSpan w:val="2"/>
          </w:tcPr>
          <w:p w14:paraId="25E524A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Scientific Reports / Nature Portfolio</w:t>
            </w:r>
          </w:p>
          <w:p w14:paraId="62BAE1BE"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36732B2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7B4AB3E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7BE3BA9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6A7A3CC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p w14:paraId="6E7B4762" w14:textId="77777777" w:rsidR="00A2271B" w:rsidRPr="00915A5E" w:rsidRDefault="00A2271B" w:rsidP="0085659B">
            <w:pPr>
              <w:spacing w:line="276" w:lineRule="auto"/>
              <w:jc w:val="center"/>
              <w:rPr>
                <w:rFonts w:ascii="Adobe Garamond Pro" w:hAnsi="Adobe Garamond Pro" w:cs="Arial"/>
              </w:rPr>
            </w:pPr>
          </w:p>
        </w:tc>
      </w:tr>
      <w:tr w:rsidR="00A2271B" w:rsidRPr="00915A5E" w14:paraId="26FD9FD6" w14:textId="77777777" w:rsidTr="00676004">
        <w:tc>
          <w:tcPr>
            <w:tcW w:w="686" w:type="dxa"/>
          </w:tcPr>
          <w:p w14:paraId="46D8172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16</w:t>
            </w:r>
          </w:p>
        </w:tc>
        <w:tc>
          <w:tcPr>
            <w:tcW w:w="1982" w:type="dxa"/>
            <w:gridSpan w:val="2"/>
          </w:tcPr>
          <w:p w14:paraId="6AFCB51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Hukum Nasional</w:t>
            </w:r>
          </w:p>
          <w:p w14:paraId="7BBD0F18"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1EF90BC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53456EB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744" w:type="dxa"/>
          </w:tcPr>
          <w:p w14:paraId="29B6314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816" w:type="dxa"/>
          </w:tcPr>
          <w:p w14:paraId="4D8CA0B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w:t>
            </w:r>
          </w:p>
        </w:tc>
      </w:tr>
      <w:tr w:rsidR="00A2271B" w:rsidRPr="00915A5E" w14:paraId="242D86D5" w14:textId="77777777" w:rsidTr="00676004">
        <w:tc>
          <w:tcPr>
            <w:tcW w:w="686" w:type="dxa"/>
          </w:tcPr>
          <w:p w14:paraId="6AE9A00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17</w:t>
            </w:r>
          </w:p>
        </w:tc>
        <w:tc>
          <w:tcPr>
            <w:tcW w:w="1982" w:type="dxa"/>
            <w:gridSpan w:val="2"/>
          </w:tcPr>
          <w:p w14:paraId="1FADB4E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Environmental Science and Management (JESAM)</w:t>
            </w:r>
          </w:p>
        </w:tc>
        <w:tc>
          <w:tcPr>
            <w:tcW w:w="1366" w:type="dxa"/>
            <w:gridSpan w:val="2"/>
          </w:tcPr>
          <w:p w14:paraId="6601621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467" w:type="dxa"/>
          </w:tcPr>
          <w:p w14:paraId="5E1C452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7D9693C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c>
          <w:tcPr>
            <w:tcW w:w="1816" w:type="dxa"/>
          </w:tcPr>
          <w:p w14:paraId="14AF4D1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w:t>
            </w:r>
          </w:p>
        </w:tc>
      </w:tr>
      <w:tr w:rsidR="00A2271B" w:rsidRPr="00915A5E" w14:paraId="78E88834" w14:textId="77777777" w:rsidTr="00676004">
        <w:tc>
          <w:tcPr>
            <w:tcW w:w="686" w:type="dxa"/>
          </w:tcPr>
          <w:p w14:paraId="019A6F8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18</w:t>
            </w:r>
          </w:p>
        </w:tc>
        <w:tc>
          <w:tcPr>
            <w:tcW w:w="1982" w:type="dxa"/>
            <w:gridSpan w:val="2"/>
          </w:tcPr>
          <w:p w14:paraId="1CB6235B"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Journal of Environment</w:t>
            </w:r>
          </w:p>
        </w:tc>
        <w:tc>
          <w:tcPr>
            <w:tcW w:w="1366" w:type="dxa"/>
            <w:gridSpan w:val="2"/>
          </w:tcPr>
          <w:p w14:paraId="1277173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7DC1ED4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13B7EA7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11AB6FB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69808444" w14:textId="77777777" w:rsidTr="00676004">
        <w:tc>
          <w:tcPr>
            <w:tcW w:w="686" w:type="dxa"/>
          </w:tcPr>
          <w:p w14:paraId="0BBE27D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19</w:t>
            </w:r>
          </w:p>
        </w:tc>
        <w:tc>
          <w:tcPr>
            <w:tcW w:w="1982" w:type="dxa"/>
            <w:gridSpan w:val="2"/>
          </w:tcPr>
          <w:p w14:paraId="190BC4D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Applied Geochemistry (Elsevier)</w:t>
            </w:r>
          </w:p>
        </w:tc>
        <w:tc>
          <w:tcPr>
            <w:tcW w:w="1366" w:type="dxa"/>
            <w:gridSpan w:val="2"/>
          </w:tcPr>
          <w:p w14:paraId="738C36F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6526668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0D38CC3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6FF657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p w14:paraId="1EE59B38" w14:textId="77777777" w:rsidR="00A2271B" w:rsidRPr="00915A5E" w:rsidRDefault="00A2271B" w:rsidP="0085659B">
            <w:pPr>
              <w:spacing w:line="276" w:lineRule="auto"/>
              <w:jc w:val="center"/>
              <w:rPr>
                <w:rFonts w:ascii="Adobe Garamond Pro" w:hAnsi="Adobe Garamond Pro" w:cs="Arial"/>
              </w:rPr>
            </w:pPr>
          </w:p>
        </w:tc>
      </w:tr>
      <w:tr w:rsidR="00A2271B" w:rsidRPr="00915A5E" w14:paraId="5BC80FA9" w14:textId="77777777" w:rsidTr="00676004">
        <w:tc>
          <w:tcPr>
            <w:tcW w:w="686" w:type="dxa"/>
          </w:tcPr>
          <w:p w14:paraId="025F052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20</w:t>
            </w:r>
          </w:p>
        </w:tc>
        <w:tc>
          <w:tcPr>
            <w:tcW w:w="1982" w:type="dxa"/>
            <w:gridSpan w:val="2"/>
          </w:tcPr>
          <w:p w14:paraId="1254E0C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Ilmu Sosial / Politik</w:t>
            </w:r>
          </w:p>
        </w:tc>
        <w:tc>
          <w:tcPr>
            <w:tcW w:w="1366" w:type="dxa"/>
            <w:gridSpan w:val="2"/>
          </w:tcPr>
          <w:p w14:paraId="5D406D6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0BB1752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c>
          <w:tcPr>
            <w:tcW w:w="1744" w:type="dxa"/>
          </w:tcPr>
          <w:p w14:paraId="31E88BF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c>
          <w:tcPr>
            <w:tcW w:w="1816" w:type="dxa"/>
          </w:tcPr>
          <w:p w14:paraId="414DABE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w:t>
            </w:r>
          </w:p>
        </w:tc>
      </w:tr>
      <w:tr w:rsidR="00A2271B" w:rsidRPr="00915A5E" w14:paraId="138664EA" w14:textId="77777777" w:rsidTr="00676004">
        <w:tc>
          <w:tcPr>
            <w:tcW w:w="686" w:type="dxa"/>
          </w:tcPr>
          <w:p w14:paraId="250DAB5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21</w:t>
            </w:r>
          </w:p>
        </w:tc>
        <w:tc>
          <w:tcPr>
            <w:tcW w:w="1982" w:type="dxa"/>
            <w:gridSpan w:val="2"/>
          </w:tcPr>
          <w:p w14:paraId="18725C5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Antropologi (Unand)</w:t>
            </w:r>
          </w:p>
        </w:tc>
        <w:tc>
          <w:tcPr>
            <w:tcW w:w="1366" w:type="dxa"/>
            <w:gridSpan w:val="2"/>
          </w:tcPr>
          <w:p w14:paraId="764CDFC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7E329AC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7668C64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2C8C0AC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0BB42C90" w14:textId="77777777" w:rsidTr="00676004">
        <w:tc>
          <w:tcPr>
            <w:tcW w:w="686" w:type="dxa"/>
          </w:tcPr>
          <w:p w14:paraId="25DA18B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22</w:t>
            </w:r>
          </w:p>
        </w:tc>
        <w:tc>
          <w:tcPr>
            <w:tcW w:w="1982" w:type="dxa"/>
            <w:gridSpan w:val="2"/>
          </w:tcPr>
          <w:p w14:paraId="3AF2BE5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Global South Review (UGM)</w:t>
            </w:r>
          </w:p>
        </w:tc>
        <w:tc>
          <w:tcPr>
            <w:tcW w:w="1366" w:type="dxa"/>
            <w:gridSpan w:val="2"/>
          </w:tcPr>
          <w:p w14:paraId="0D7C8FE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7EA986A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489EB60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BBA78A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58FD5C4A" w14:textId="77777777" w:rsidTr="00676004">
        <w:tc>
          <w:tcPr>
            <w:tcW w:w="686" w:type="dxa"/>
          </w:tcPr>
          <w:p w14:paraId="1A1E4E2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23</w:t>
            </w:r>
          </w:p>
        </w:tc>
        <w:tc>
          <w:tcPr>
            <w:tcW w:w="1982" w:type="dxa"/>
            <w:gridSpan w:val="2"/>
          </w:tcPr>
          <w:p w14:paraId="17A81C3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Heliyon (Cell Press/Elsevier</w:t>
            </w:r>
          </w:p>
        </w:tc>
        <w:tc>
          <w:tcPr>
            <w:tcW w:w="1366" w:type="dxa"/>
            <w:gridSpan w:val="2"/>
          </w:tcPr>
          <w:p w14:paraId="274EFD6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1C5B9A8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144058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2995201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1AEB96BA" w14:textId="77777777" w:rsidTr="00676004">
        <w:tc>
          <w:tcPr>
            <w:tcW w:w="686" w:type="dxa"/>
          </w:tcPr>
          <w:p w14:paraId="0ACA55D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lastRenderedPageBreak/>
              <w:t>24</w:t>
            </w:r>
          </w:p>
        </w:tc>
        <w:tc>
          <w:tcPr>
            <w:tcW w:w="1982" w:type="dxa"/>
            <w:gridSpan w:val="2"/>
          </w:tcPr>
          <w:p w14:paraId="0F4CF2A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Baltic Journal of Economic Studies</w:t>
            </w:r>
          </w:p>
        </w:tc>
        <w:tc>
          <w:tcPr>
            <w:tcW w:w="1366" w:type="dxa"/>
            <w:gridSpan w:val="2"/>
          </w:tcPr>
          <w:p w14:paraId="1606A63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1822B3B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6554E5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11AC52A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3B8F45E" w14:textId="77777777" w:rsidTr="00676004">
        <w:tc>
          <w:tcPr>
            <w:tcW w:w="686" w:type="dxa"/>
          </w:tcPr>
          <w:p w14:paraId="5B02310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25</w:t>
            </w:r>
          </w:p>
        </w:tc>
        <w:tc>
          <w:tcPr>
            <w:tcW w:w="1982" w:type="dxa"/>
            <w:gridSpan w:val="2"/>
          </w:tcPr>
          <w:p w14:paraId="7E2033CE"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J. of Legal, Ethical and Regulatory Issues</w:t>
            </w:r>
          </w:p>
        </w:tc>
        <w:tc>
          <w:tcPr>
            <w:tcW w:w="1366" w:type="dxa"/>
            <w:gridSpan w:val="2"/>
          </w:tcPr>
          <w:p w14:paraId="34706A9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57B6B76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17A7480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784262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43AA3476" w14:textId="77777777" w:rsidTr="00676004">
        <w:tc>
          <w:tcPr>
            <w:tcW w:w="686" w:type="dxa"/>
          </w:tcPr>
          <w:p w14:paraId="1983B58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26</w:t>
            </w:r>
          </w:p>
        </w:tc>
        <w:tc>
          <w:tcPr>
            <w:tcW w:w="1982" w:type="dxa"/>
            <w:gridSpan w:val="2"/>
          </w:tcPr>
          <w:p w14:paraId="6CD8E8B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Resources Policy</w:t>
            </w:r>
          </w:p>
        </w:tc>
        <w:tc>
          <w:tcPr>
            <w:tcW w:w="1366" w:type="dxa"/>
            <w:gridSpan w:val="2"/>
          </w:tcPr>
          <w:p w14:paraId="5864B66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2AB68C6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3835E08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5F28378"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65079911" w14:textId="77777777" w:rsidTr="00676004">
        <w:tc>
          <w:tcPr>
            <w:tcW w:w="686" w:type="dxa"/>
          </w:tcPr>
          <w:p w14:paraId="73AB709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27</w:t>
            </w:r>
          </w:p>
        </w:tc>
        <w:tc>
          <w:tcPr>
            <w:tcW w:w="1982" w:type="dxa"/>
            <w:gridSpan w:val="2"/>
          </w:tcPr>
          <w:p w14:paraId="130BA6B4"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Int. J. of Current Science Research &amp; Review</w:t>
            </w:r>
          </w:p>
          <w:p w14:paraId="41070A74"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4628CD6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265D747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6A48BC1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3656CB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4D3C6683" w14:textId="77777777" w:rsidTr="00676004">
        <w:tc>
          <w:tcPr>
            <w:tcW w:w="686" w:type="dxa"/>
          </w:tcPr>
          <w:p w14:paraId="6F88080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28</w:t>
            </w:r>
          </w:p>
        </w:tc>
        <w:tc>
          <w:tcPr>
            <w:tcW w:w="1982" w:type="dxa"/>
            <w:gridSpan w:val="2"/>
          </w:tcPr>
          <w:p w14:paraId="50A9C39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Jurnal Locus</w:t>
            </w:r>
          </w:p>
        </w:tc>
        <w:tc>
          <w:tcPr>
            <w:tcW w:w="1366" w:type="dxa"/>
            <w:gridSpan w:val="2"/>
          </w:tcPr>
          <w:p w14:paraId="1BC28FF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121AC5F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8293B2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0CFC16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CC813E8" w14:textId="77777777" w:rsidTr="00676004">
        <w:tc>
          <w:tcPr>
            <w:tcW w:w="686" w:type="dxa"/>
          </w:tcPr>
          <w:p w14:paraId="2135895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29</w:t>
            </w:r>
          </w:p>
        </w:tc>
        <w:tc>
          <w:tcPr>
            <w:tcW w:w="1982" w:type="dxa"/>
            <w:gridSpan w:val="2"/>
          </w:tcPr>
          <w:p w14:paraId="1DE332C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Uncertain Supply Chain Management</w:t>
            </w:r>
          </w:p>
        </w:tc>
        <w:tc>
          <w:tcPr>
            <w:tcW w:w="1366" w:type="dxa"/>
            <w:gridSpan w:val="2"/>
          </w:tcPr>
          <w:p w14:paraId="301F405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39F48A8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7573EC2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7B36B4E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19EA8CEC" w14:textId="77777777" w:rsidTr="00676004">
        <w:tc>
          <w:tcPr>
            <w:tcW w:w="686" w:type="dxa"/>
          </w:tcPr>
          <w:p w14:paraId="22B0987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30</w:t>
            </w:r>
          </w:p>
        </w:tc>
        <w:tc>
          <w:tcPr>
            <w:tcW w:w="1982" w:type="dxa"/>
            <w:gridSpan w:val="2"/>
          </w:tcPr>
          <w:p w14:paraId="6BD566A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Geotechnique</w:t>
            </w:r>
          </w:p>
        </w:tc>
        <w:tc>
          <w:tcPr>
            <w:tcW w:w="1366" w:type="dxa"/>
            <w:gridSpan w:val="2"/>
          </w:tcPr>
          <w:p w14:paraId="74CF8CD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595C4B6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44C5D37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744F1BC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66EC9A3D" w14:textId="77777777" w:rsidTr="00676004">
        <w:tc>
          <w:tcPr>
            <w:tcW w:w="686" w:type="dxa"/>
          </w:tcPr>
          <w:p w14:paraId="562D008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31</w:t>
            </w:r>
          </w:p>
        </w:tc>
        <w:tc>
          <w:tcPr>
            <w:tcW w:w="1982" w:type="dxa"/>
            <w:gridSpan w:val="2"/>
          </w:tcPr>
          <w:p w14:paraId="177AA0E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Society (Univ. Bangka Belitung)</w:t>
            </w:r>
          </w:p>
        </w:tc>
        <w:tc>
          <w:tcPr>
            <w:tcW w:w="1366" w:type="dxa"/>
            <w:gridSpan w:val="2"/>
          </w:tcPr>
          <w:p w14:paraId="567C621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7CCAE1F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E4BBEF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AEAA5F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316517AF" w14:textId="77777777" w:rsidTr="00676004">
        <w:tc>
          <w:tcPr>
            <w:tcW w:w="686" w:type="dxa"/>
          </w:tcPr>
          <w:p w14:paraId="1DE5FCE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32</w:t>
            </w:r>
          </w:p>
        </w:tc>
        <w:tc>
          <w:tcPr>
            <w:tcW w:w="1982" w:type="dxa"/>
            <w:gridSpan w:val="2"/>
          </w:tcPr>
          <w:p w14:paraId="1B236B6E"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Edelweiss Applied Science and Technology</w:t>
            </w:r>
          </w:p>
          <w:p w14:paraId="38DD2212"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1670CE7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00ADF22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C3018E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4C3892D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38209D92" w14:textId="77777777" w:rsidTr="00676004">
        <w:tc>
          <w:tcPr>
            <w:tcW w:w="686" w:type="dxa"/>
          </w:tcPr>
          <w:p w14:paraId="0E4A55C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33</w:t>
            </w:r>
          </w:p>
        </w:tc>
        <w:tc>
          <w:tcPr>
            <w:tcW w:w="1982" w:type="dxa"/>
            <w:gridSpan w:val="2"/>
          </w:tcPr>
          <w:p w14:paraId="54C8F4BA"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IJRR (Int. Journal of Research Review)</w:t>
            </w:r>
          </w:p>
          <w:p w14:paraId="3C616A13" w14:textId="77777777" w:rsidR="00A2271B" w:rsidRPr="00915A5E" w:rsidRDefault="00A2271B" w:rsidP="0085659B">
            <w:pPr>
              <w:spacing w:line="276" w:lineRule="auto"/>
              <w:jc w:val="center"/>
              <w:rPr>
                <w:rFonts w:ascii="Adobe Garamond Pro" w:hAnsi="Adobe Garamond Pro" w:cs="Arial"/>
              </w:rPr>
            </w:pPr>
          </w:p>
        </w:tc>
        <w:tc>
          <w:tcPr>
            <w:tcW w:w="1366" w:type="dxa"/>
            <w:gridSpan w:val="2"/>
          </w:tcPr>
          <w:p w14:paraId="002F20F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2B1050D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BFA08E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32350C2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39FF2853" w14:textId="77777777" w:rsidTr="00676004">
        <w:tc>
          <w:tcPr>
            <w:tcW w:w="686" w:type="dxa"/>
          </w:tcPr>
          <w:p w14:paraId="5649BC9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34</w:t>
            </w:r>
          </w:p>
        </w:tc>
        <w:tc>
          <w:tcPr>
            <w:tcW w:w="1982" w:type="dxa"/>
            <w:gridSpan w:val="2"/>
          </w:tcPr>
          <w:p w14:paraId="65D58CF4"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Australian National University (ANU)</w:t>
            </w:r>
          </w:p>
          <w:p w14:paraId="4C8D5624"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652E735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420B259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40AE2E6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75362A3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499C6CFE" w14:textId="77777777" w:rsidTr="00676004">
        <w:tc>
          <w:tcPr>
            <w:tcW w:w="686" w:type="dxa"/>
          </w:tcPr>
          <w:p w14:paraId="0CBABA9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35</w:t>
            </w:r>
          </w:p>
        </w:tc>
        <w:tc>
          <w:tcPr>
            <w:tcW w:w="1982" w:type="dxa"/>
            <w:gridSpan w:val="2"/>
          </w:tcPr>
          <w:p w14:paraId="7295F74B"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J. of Geochemical Exploration (Elsevier)</w:t>
            </w:r>
          </w:p>
          <w:p w14:paraId="7E3CE56A"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013A066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2A1355E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42D2A41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25EE7F7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2A06BD9E" w14:textId="77777777" w:rsidTr="00676004">
        <w:tc>
          <w:tcPr>
            <w:tcW w:w="686" w:type="dxa"/>
          </w:tcPr>
          <w:p w14:paraId="110E1CAD"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36</w:t>
            </w:r>
          </w:p>
        </w:tc>
        <w:tc>
          <w:tcPr>
            <w:tcW w:w="1982" w:type="dxa"/>
            <w:gridSpan w:val="2"/>
          </w:tcPr>
          <w:p w14:paraId="656EC880"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Int. J. of Env. Waste Management</w:t>
            </w:r>
          </w:p>
        </w:tc>
        <w:tc>
          <w:tcPr>
            <w:tcW w:w="1366" w:type="dxa"/>
            <w:gridSpan w:val="2"/>
          </w:tcPr>
          <w:p w14:paraId="660EC46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5F92289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52D16E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2DD39BA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5863DFFE" w14:textId="77777777" w:rsidTr="00676004">
        <w:tc>
          <w:tcPr>
            <w:tcW w:w="686" w:type="dxa"/>
          </w:tcPr>
          <w:p w14:paraId="5FA5247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37</w:t>
            </w:r>
          </w:p>
        </w:tc>
        <w:tc>
          <w:tcPr>
            <w:tcW w:w="1982" w:type="dxa"/>
            <w:gridSpan w:val="2"/>
          </w:tcPr>
          <w:p w14:paraId="5D751A22"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Pacific Journalism Review</w:t>
            </w:r>
          </w:p>
        </w:tc>
        <w:tc>
          <w:tcPr>
            <w:tcW w:w="1366" w:type="dxa"/>
            <w:gridSpan w:val="2"/>
          </w:tcPr>
          <w:p w14:paraId="707884E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5A90A4F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7A1526A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1878410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1A541768" w14:textId="77777777" w:rsidTr="00676004">
        <w:tc>
          <w:tcPr>
            <w:tcW w:w="686" w:type="dxa"/>
          </w:tcPr>
          <w:p w14:paraId="0A94F86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38</w:t>
            </w:r>
          </w:p>
        </w:tc>
        <w:tc>
          <w:tcPr>
            <w:tcW w:w="1982" w:type="dxa"/>
            <w:gridSpan w:val="2"/>
          </w:tcPr>
          <w:p w14:paraId="100B4FAF"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Nusantara Bioscience (UNS)</w:t>
            </w:r>
          </w:p>
        </w:tc>
        <w:tc>
          <w:tcPr>
            <w:tcW w:w="1366" w:type="dxa"/>
            <w:gridSpan w:val="2"/>
          </w:tcPr>
          <w:p w14:paraId="1CFC972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213ED3C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024F971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42643BB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2C0141B1" w14:textId="77777777" w:rsidTr="00676004">
        <w:tc>
          <w:tcPr>
            <w:tcW w:w="686" w:type="dxa"/>
          </w:tcPr>
          <w:p w14:paraId="2712AA2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lastRenderedPageBreak/>
              <w:t>39</w:t>
            </w:r>
          </w:p>
        </w:tc>
        <w:tc>
          <w:tcPr>
            <w:tcW w:w="1982" w:type="dxa"/>
            <w:gridSpan w:val="2"/>
          </w:tcPr>
          <w:p w14:paraId="12175F6F"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CommDev (International Finance Corp)</w:t>
            </w:r>
          </w:p>
          <w:p w14:paraId="25B4EC0F"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28D0C0E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6B856CB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78A923B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0BCBFEF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61B47E3F" w14:textId="77777777" w:rsidTr="00676004">
        <w:tc>
          <w:tcPr>
            <w:tcW w:w="686" w:type="dxa"/>
          </w:tcPr>
          <w:p w14:paraId="4741F5B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40</w:t>
            </w:r>
          </w:p>
        </w:tc>
        <w:tc>
          <w:tcPr>
            <w:tcW w:w="1982" w:type="dxa"/>
            <w:gridSpan w:val="2"/>
          </w:tcPr>
          <w:p w14:paraId="487C8C8E"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Resources Policy (Elsevier)</w:t>
            </w:r>
          </w:p>
          <w:p w14:paraId="6D28EEF6"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5664493A"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605A2BA2"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7E48BF7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47E61B5C"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3149C837" w14:textId="77777777" w:rsidTr="00676004">
        <w:tc>
          <w:tcPr>
            <w:tcW w:w="686" w:type="dxa"/>
          </w:tcPr>
          <w:p w14:paraId="645C315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41</w:t>
            </w:r>
          </w:p>
        </w:tc>
        <w:tc>
          <w:tcPr>
            <w:tcW w:w="1982" w:type="dxa"/>
            <w:gridSpan w:val="2"/>
          </w:tcPr>
          <w:p w14:paraId="3FDCE8FC"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The Extractive Industries and Society</w:t>
            </w:r>
          </w:p>
          <w:p w14:paraId="18E2EF5B"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5505276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467" w:type="dxa"/>
          </w:tcPr>
          <w:p w14:paraId="41C6C210"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744" w:type="dxa"/>
          </w:tcPr>
          <w:p w14:paraId="010FB981"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34C4D9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ADCF9BC" w14:textId="77777777" w:rsidTr="00676004">
        <w:tc>
          <w:tcPr>
            <w:tcW w:w="686" w:type="dxa"/>
          </w:tcPr>
          <w:p w14:paraId="7692BEEB"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42</w:t>
            </w:r>
          </w:p>
        </w:tc>
        <w:tc>
          <w:tcPr>
            <w:tcW w:w="1982" w:type="dxa"/>
            <w:gridSpan w:val="2"/>
          </w:tcPr>
          <w:p w14:paraId="76B32E83"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Oxford University Press</w:t>
            </w:r>
          </w:p>
          <w:p w14:paraId="530C3C38"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176F0816"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1996025F"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AE5A9D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47B160D7"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76B9F7D7" w14:textId="77777777" w:rsidTr="00676004">
        <w:tc>
          <w:tcPr>
            <w:tcW w:w="686" w:type="dxa"/>
          </w:tcPr>
          <w:p w14:paraId="0A659524"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43</w:t>
            </w:r>
          </w:p>
        </w:tc>
        <w:tc>
          <w:tcPr>
            <w:tcW w:w="1982" w:type="dxa"/>
            <w:gridSpan w:val="2"/>
          </w:tcPr>
          <w:p w14:paraId="761732A8" w14:textId="77777777" w:rsidR="00A2271B" w:rsidRPr="00915A5E" w:rsidRDefault="00A2271B" w:rsidP="0085659B">
            <w:pPr>
              <w:pStyle w:val="Compact"/>
              <w:spacing w:line="276" w:lineRule="auto"/>
              <w:jc w:val="center"/>
              <w:rPr>
                <w:rFonts w:ascii="Adobe Garamond Pro" w:hAnsi="Adobe Garamond Pro" w:cs="Arial"/>
                <w:sz w:val="22"/>
                <w:szCs w:val="22"/>
              </w:rPr>
            </w:pPr>
            <w:r w:rsidRPr="00915A5E">
              <w:rPr>
                <w:rFonts w:ascii="Adobe Garamond Pro" w:hAnsi="Adobe Garamond Pro" w:cs="Arial"/>
                <w:sz w:val="22"/>
                <w:szCs w:val="22"/>
              </w:rPr>
              <w:t>One Earth (Cell Press)</w:t>
            </w:r>
          </w:p>
          <w:p w14:paraId="72FF5A27" w14:textId="77777777" w:rsidR="00A2271B" w:rsidRPr="00915A5E" w:rsidRDefault="00A2271B" w:rsidP="0085659B">
            <w:pPr>
              <w:pStyle w:val="Compact"/>
              <w:spacing w:line="276" w:lineRule="auto"/>
              <w:jc w:val="center"/>
              <w:rPr>
                <w:rFonts w:ascii="Adobe Garamond Pro" w:hAnsi="Adobe Garamond Pro" w:cs="Arial"/>
                <w:sz w:val="22"/>
                <w:szCs w:val="22"/>
              </w:rPr>
            </w:pPr>
          </w:p>
        </w:tc>
        <w:tc>
          <w:tcPr>
            <w:tcW w:w="1366" w:type="dxa"/>
            <w:gridSpan w:val="2"/>
          </w:tcPr>
          <w:p w14:paraId="49328593"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0</w:t>
            </w:r>
          </w:p>
        </w:tc>
        <w:tc>
          <w:tcPr>
            <w:tcW w:w="1467" w:type="dxa"/>
          </w:tcPr>
          <w:p w14:paraId="323B3889"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744" w:type="dxa"/>
          </w:tcPr>
          <w:p w14:paraId="24F4BB55"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1</w:t>
            </w:r>
          </w:p>
        </w:tc>
        <w:tc>
          <w:tcPr>
            <w:tcW w:w="1816" w:type="dxa"/>
          </w:tcPr>
          <w:p w14:paraId="5BC3845E" w14:textId="77777777" w:rsidR="00A2271B" w:rsidRPr="00915A5E" w:rsidRDefault="00A2271B" w:rsidP="0085659B">
            <w:pPr>
              <w:spacing w:line="276" w:lineRule="auto"/>
              <w:jc w:val="center"/>
              <w:rPr>
                <w:rFonts w:ascii="Adobe Garamond Pro" w:hAnsi="Adobe Garamond Pro" w:cs="Arial"/>
              </w:rPr>
            </w:pPr>
            <w:r w:rsidRPr="00915A5E">
              <w:rPr>
                <w:rFonts w:ascii="Adobe Garamond Pro" w:hAnsi="Adobe Garamond Pro" w:cs="Arial"/>
              </w:rPr>
              <w:t>2%</w:t>
            </w:r>
          </w:p>
        </w:tc>
      </w:tr>
      <w:tr w:rsidR="00A2271B" w:rsidRPr="00915A5E" w14:paraId="27517009" w14:textId="77777777" w:rsidTr="00676004">
        <w:tblPrEx>
          <w:tblLook w:val="0000" w:firstRow="0" w:lastRow="0" w:firstColumn="0" w:lastColumn="0" w:noHBand="0" w:noVBand="0"/>
        </w:tblPrEx>
        <w:trPr>
          <w:trHeight w:val="272"/>
        </w:trPr>
        <w:tc>
          <w:tcPr>
            <w:tcW w:w="2649" w:type="dxa"/>
            <w:gridSpan w:val="2"/>
          </w:tcPr>
          <w:p w14:paraId="5765F04F" w14:textId="77777777" w:rsidR="00A2271B" w:rsidRPr="00915A5E" w:rsidRDefault="00A2271B" w:rsidP="0085659B">
            <w:pPr>
              <w:spacing w:line="276" w:lineRule="auto"/>
              <w:ind w:left="-5"/>
              <w:jc w:val="center"/>
              <w:rPr>
                <w:rFonts w:ascii="Adobe Garamond Pro" w:hAnsi="Adobe Garamond Pro" w:cs="Arial"/>
              </w:rPr>
            </w:pPr>
            <w:r w:rsidRPr="00915A5E">
              <w:rPr>
                <w:rFonts w:ascii="Adobe Garamond Pro" w:hAnsi="Adobe Garamond Pro" w:cs="Arial"/>
              </w:rPr>
              <w:t>Total</w:t>
            </w:r>
          </w:p>
        </w:tc>
        <w:tc>
          <w:tcPr>
            <w:tcW w:w="1366" w:type="dxa"/>
            <w:gridSpan w:val="2"/>
          </w:tcPr>
          <w:p w14:paraId="7CC0F49E" w14:textId="77777777" w:rsidR="00A2271B" w:rsidRPr="00915A5E" w:rsidRDefault="00A2271B" w:rsidP="0085659B">
            <w:pPr>
              <w:spacing w:line="276" w:lineRule="auto"/>
              <w:ind w:left="-5"/>
              <w:jc w:val="center"/>
              <w:rPr>
                <w:rFonts w:ascii="Adobe Garamond Pro" w:hAnsi="Adobe Garamond Pro" w:cs="Arial"/>
              </w:rPr>
            </w:pPr>
            <w:r w:rsidRPr="00915A5E">
              <w:rPr>
                <w:rFonts w:ascii="Adobe Garamond Pro" w:hAnsi="Adobe Garamond Pro" w:cs="Arial"/>
              </w:rPr>
              <w:t>13</w:t>
            </w:r>
          </w:p>
        </w:tc>
        <w:tc>
          <w:tcPr>
            <w:tcW w:w="1486" w:type="dxa"/>
            <w:gridSpan w:val="2"/>
          </w:tcPr>
          <w:p w14:paraId="11753D26" w14:textId="77777777" w:rsidR="00A2271B" w:rsidRPr="00915A5E" w:rsidRDefault="00A2271B" w:rsidP="0085659B">
            <w:pPr>
              <w:spacing w:line="276" w:lineRule="auto"/>
              <w:ind w:left="-5"/>
              <w:jc w:val="center"/>
              <w:rPr>
                <w:rFonts w:ascii="Adobe Garamond Pro" w:hAnsi="Adobe Garamond Pro" w:cs="Arial"/>
              </w:rPr>
            </w:pPr>
            <w:r w:rsidRPr="00915A5E">
              <w:rPr>
                <w:rFonts w:ascii="Adobe Garamond Pro" w:hAnsi="Adobe Garamond Pro" w:cs="Arial"/>
              </w:rPr>
              <w:t>42</w:t>
            </w:r>
          </w:p>
        </w:tc>
        <w:tc>
          <w:tcPr>
            <w:tcW w:w="1744" w:type="dxa"/>
          </w:tcPr>
          <w:p w14:paraId="59B79612" w14:textId="77777777" w:rsidR="00A2271B" w:rsidRPr="00915A5E" w:rsidRDefault="00A2271B" w:rsidP="0085659B">
            <w:pPr>
              <w:spacing w:line="276" w:lineRule="auto"/>
              <w:ind w:left="-5"/>
              <w:jc w:val="center"/>
              <w:rPr>
                <w:rFonts w:ascii="Adobe Garamond Pro" w:hAnsi="Adobe Garamond Pro" w:cs="Arial"/>
              </w:rPr>
            </w:pPr>
            <w:r w:rsidRPr="00915A5E">
              <w:rPr>
                <w:rFonts w:ascii="Adobe Garamond Pro" w:hAnsi="Adobe Garamond Pro" w:cs="Arial"/>
              </w:rPr>
              <w:t>55</w:t>
            </w:r>
          </w:p>
        </w:tc>
        <w:tc>
          <w:tcPr>
            <w:tcW w:w="1816" w:type="dxa"/>
          </w:tcPr>
          <w:p w14:paraId="73052460" w14:textId="77777777" w:rsidR="00A2271B" w:rsidRPr="00915A5E" w:rsidRDefault="00A2271B" w:rsidP="0085659B">
            <w:pPr>
              <w:spacing w:line="276" w:lineRule="auto"/>
              <w:ind w:left="-5"/>
              <w:jc w:val="center"/>
              <w:rPr>
                <w:rFonts w:ascii="Adobe Garamond Pro" w:hAnsi="Adobe Garamond Pro" w:cs="Arial"/>
              </w:rPr>
            </w:pPr>
            <w:r w:rsidRPr="00915A5E">
              <w:rPr>
                <w:rFonts w:ascii="Adobe Garamond Pro" w:hAnsi="Adobe Garamond Pro" w:cs="Arial"/>
              </w:rPr>
              <w:t>100%</w:t>
            </w:r>
          </w:p>
        </w:tc>
      </w:tr>
    </w:tbl>
    <w:p w14:paraId="1FE59D3A" w14:textId="55154152" w:rsidR="00676004" w:rsidRPr="00915A5E" w:rsidRDefault="00676004" w:rsidP="00676004">
      <w:pPr>
        <w:tabs>
          <w:tab w:val="left" w:pos="0"/>
          <w:tab w:val="left" w:pos="360"/>
        </w:tabs>
        <w:suppressAutoHyphens/>
        <w:spacing w:after="0" w:line="360" w:lineRule="auto"/>
        <w:jc w:val="both"/>
        <w:rPr>
          <w:rFonts w:ascii="Adobe Garamond Pro" w:hAnsi="Adobe Garamond Pro" w:cs="Arial"/>
          <w:color w:val="2E74B5" w:themeColor="accent1" w:themeShade="BF"/>
        </w:rPr>
      </w:pPr>
      <w:r w:rsidRPr="00915A5E">
        <w:rPr>
          <w:rFonts w:ascii="Adobe Garamond Pro" w:hAnsi="Adobe Garamond Pro" w:cs="Arial"/>
          <w:color w:val="2E74B5" w:themeColor="accent1" w:themeShade="BF"/>
        </w:rPr>
        <w:t>Source: Data penelitian</w:t>
      </w:r>
    </w:p>
    <w:p w14:paraId="3A5F3326" w14:textId="77777777" w:rsidR="005E2E8C" w:rsidRPr="00915A5E" w:rsidRDefault="00A2271B" w:rsidP="00915A5E">
      <w:pPr>
        <w:spacing w:line="276" w:lineRule="auto"/>
        <w:ind w:firstLine="720"/>
        <w:jc w:val="both"/>
        <w:rPr>
          <w:rFonts w:ascii="Adobe Garamond Pro" w:hAnsi="Adobe Garamond Pro" w:cs="Arial"/>
        </w:rPr>
      </w:pPr>
      <w:r w:rsidRPr="00915A5E">
        <w:rPr>
          <w:rFonts w:ascii="Adobe Garamond Pro" w:hAnsi="Adobe Garamond Pro" w:cs="Arial"/>
        </w:rPr>
        <w:t xml:space="preserve">Tabel 2 menujukkan bahwa </w:t>
      </w:r>
      <w:r w:rsidRPr="00915A5E">
        <w:rPr>
          <w:rFonts w:ascii="Adobe Garamond Pro" w:hAnsi="Adobe Garamond Pro" w:cs="Arial"/>
          <w:i/>
          <w:iCs/>
        </w:rPr>
        <w:t xml:space="preserve">Int. Journal of Mining and Mineral Engineering </w:t>
      </w:r>
      <w:r w:rsidRPr="00915A5E">
        <w:rPr>
          <w:rFonts w:ascii="Adobe Garamond Pro" w:hAnsi="Adobe Garamond Pro" w:cs="Arial"/>
        </w:rPr>
        <w:t xml:space="preserve">merupakan jurnal ilmiah internasional yang paling banyak mempublikasikan artikel tentang Audit Lingkungan, Limbah Tailing, Dan Implikasi Keamanan Manusia: Studi Kasus Pt Freeport Indonesia sebanyak 4 artikel (5%). Jurnal berikutnya yaitu, </w:t>
      </w:r>
      <w:r w:rsidRPr="00915A5E">
        <w:rPr>
          <w:rFonts w:ascii="Adobe Garamond Pro" w:hAnsi="Adobe Garamond Pro" w:cs="Arial"/>
          <w:i/>
          <w:iCs/>
        </w:rPr>
        <w:t xml:space="preserve">Journal of Environment and Sustainability </w:t>
      </w:r>
      <w:r w:rsidRPr="00915A5E">
        <w:rPr>
          <w:rFonts w:ascii="Adobe Garamond Pro" w:hAnsi="Adobe Garamond Pro" w:cs="Arial"/>
        </w:rPr>
        <w:t xml:space="preserve">(4%) dan Jurnal Hukum Indonesia (4%), </w:t>
      </w:r>
      <w:r w:rsidRPr="00915A5E">
        <w:rPr>
          <w:rFonts w:ascii="Adobe Garamond Pro" w:hAnsi="Adobe Garamond Pro" w:cs="Arial"/>
          <w:i/>
          <w:iCs/>
        </w:rPr>
        <w:t xml:space="preserve">Environmental Science and Management (JESAM) </w:t>
      </w:r>
      <w:r w:rsidRPr="00915A5E">
        <w:rPr>
          <w:rFonts w:ascii="Adobe Garamond Pro" w:hAnsi="Adobe Garamond Pro" w:cs="Arial"/>
        </w:rPr>
        <w:t>(4%), Jurnal Politik/ Sosial 2 artikel (3%). Untuk jurnal-jurnal yang lain hanya 1 artikel (2%).</w:t>
      </w:r>
    </w:p>
    <w:p w14:paraId="45E090FA" w14:textId="31F26025" w:rsidR="00A2271B" w:rsidRPr="00915A5E" w:rsidRDefault="00A2271B" w:rsidP="00915A5E">
      <w:pPr>
        <w:spacing w:line="276" w:lineRule="auto"/>
        <w:ind w:firstLine="720"/>
        <w:jc w:val="both"/>
        <w:rPr>
          <w:rFonts w:ascii="Adobe Garamond Pro" w:hAnsi="Adobe Garamond Pro" w:cs="Arial"/>
        </w:rPr>
      </w:pPr>
      <w:r w:rsidRPr="00915A5E">
        <w:rPr>
          <w:rFonts w:ascii="Adobe Garamond Pro" w:hAnsi="Adobe Garamond Pro" w:cs="Arial"/>
        </w:rPr>
        <w:t xml:space="preserve">Tabel 2 juga menujukkan bahwa </w:t>
      </w:r>
      <w:r w:rsidRPr="00915A5E">
        <w:rPr>
          <w:rFonts w:ascii="Adobe Garamond Pro" w:hAnsi="Adobe Garamond Pro" w:cs="Arial"/>
          <w:i/>
          <w:iCs/>
        </w:rPr>
        <w:t xml:space="preserve">Int. Journal of Mining and Mineral Engineering </w:t>
      </w:r>
      <w:r w:rsidRPr="00915A5E">
        <w:rPr>
          <w:rFonts w:ascii="Adobe Garamond Pro" w:hAnsi="Adobe Garamond Pro" w:cs="Arial"/>
        </w:rPr>
        <w:t xml:space="preserve">tahun 2010-2019 sebanyak 1 artikel (2%) dan 2020-2025 sebanyak 3 atikel (3%), jurnal berikutnya yaitu, </w:t>
      </w:r>
      <w:r w:rsidRPr="00915A5E">
        <w:rPr>
          <w:rFonts w:ascii="Adobe Garamond Pro" w:hAnsi="Adobe Garamond Pro" w:cs="Arial"/>
          <w:i/>
          <w:iCs/>
        </w:rPr>
        <w:t xml:space="preserve">Journal of Environment and Sustainability </w:t>
      </w:r>
      <w:r w:rsidRPr="00915A5E">
        <w:rPr>
          <w:rFonts w:ascii="Adobe Garamond Pro" w:hAnsi="Adobe Garamond Pro" w:cs="Arial"/>
        </w:rPr>
        <w:t>tahun 2020-2025 ada 3 jurnal</w:t>
      </w:r>
      <w:r w:rsidRPr="00915A5E">
        <w:rPr>
          <w:rFonts w:ascii="Adobe Garamond Pro" w:hAnsi="Adobe Garamond Pro" w:cs="Arial"/>
          <w:i/>
          <w:iCs/>
        </w:rPr>
        <w:t xml:space="preserve">  </w:t>
      </w:r>
      <w:r w:rsidRPr="00915A5E">
        <w:rPr>
          <w:rFonts w:ascii="Adobe Garamond Pro" w:hAnsi="Adobe Garamond Pro" w:cs="Arial"/>
        </w:rPr>
        <w:t xml:space="preserve">(4%) dan Jurnal Hukum Indonesia 2020-2025 ada 3 jurnal (4%), </w:t>
      </w:r>
      <w:r w:rsidRPr="00915A5E">
        <w:rPr>
          <w:rFonts w:ascii="Adobe Garamond Pro" w:hAnsi="Adobe Garamond Pro" w:cs="Arial"/>
          <w:i/>
          <w:iCs/>
        </w:rPr>
        <w:t xml:space="preserve">Environmental Science and Management (JESAM) </w:t>
      </w:r>
      <w:r w:rsidRPr="00915A5E">
        <w:rPr>
          <w:rFonts w:ascii="Adobe Garamond Pro" w:hAnsi="Adobe Garamond Pro" w:cs="Arial"/>
        </w:rPr>
        <w:t>2010-2019 ada 3 jurnal  (4%), Jurnal Politik/ Sosial 2 artikel (3%). Untuk jurnal-jurnal yang lain hanya 1 artikel (2%).</w:t>
      </w:r>
    </w:p>
    <w:p w14:paraId="3B2445D1" w14:textId="07E3B698" w:rsidR="00724D19" w:rsidRPr="00915A5E" w:rsidRDefault="00724D19" w:rsidP="00724D19">
      <w:pPr>
        <w:spacing w:line="276" w:lineRule="auto"/>
        <w:rPr>
          <w:rFonts w:ascii="Adobe Garamond Pro" w:hAnsi="Adobe Garamond Pro" w:cs="Arial"/>
          <w:b/>
          <w:bCs/>
        </w:rPr>
      </w:pPr>
      <w:r w:rsidRPr="00915A5E">
        <w:rPr>
          <w:rFonts w:ascii="Adobe Garamond Pro" w:hAnsi="Adobe Garamond Pro" w:cs="Arial"/>
        </w:rPr>
        <w:t>Tabel 3 pemetaan metode penelitian Audit Lingkungan, Limbah Tailing, dan Keamanan Manusia dalam Pertambangan Indonesia</w:t>
      </w:r>
      <w:r w:rsidRPr="00915A5E">
        <w:rPr>
          <w:rFonts w:ascii="Adobe Garamond Pro" w:hAnsi="Adobe Garamond Pro" w:cs="Arial"/>
          <w:b/>
          <w:bCs/>
        </w:rPr>
        <w:t xml:space="preserve"> </w:t>
      </w:r>
    </w:p>
    <w:tbl>
      <w:tblPr>
        <w:tblStyle w:val="TableGrid"/>
        <w:tblW w:w="0" w:type="auto"/>
        <w:tblInd w:w="720" w:type="dxa"/>
        <w:tblLook w:val="04A0" w:firstRow="1" w:lastRow="0" w:firstColumn="1" w:lastColumn="0" w:noHBand="0" w:noVBand="1"/>
      </w:tblPr>
      <w:tblGrid>
        <w:gridCol w:w="830"/>
        <w:gridCol w:w="2303"/>
        <w:gridCol w:w="1894"/>
        <w:gridCol w:w="1669"/>
        <w:gridCol w:w="1645"/>
      </w:tblGrid>
      <w:tr w:rsidR="00A2271B" w:rsidRPr="00915A5E" w14:paraId="383030B6" w14:textId="77777777" w:rsidTr="0085659B">
        <w:tc>
          <w:tcPr>
            <w:tcW w:w="835" w:type="dxa"/>
          </w:tcPr>
          <w:p w14:paraId="54E3EF10"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Tahun</w:t>
            </w:r>
          </w:p>
        </w:tc>
        <w:tc>
          <w:tcPr>
            <w:tcW w:w="2409" w:type="dxa"/>
          </w:tcPr>
          <w:p w14:paraId="47571B58"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Kualitatif</w:t>
            </w:r>
          </w:p>
        </w:tc>
        <w:tc>
          <w:tcPr>
            <w:tcW w:w="1956" w:type="dxa"/>
          </w:tcPr>
          <w:p w14:paraId="73C0D356"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Kuantitatif</w:t>
            </w:r>
          </w:p>
        </w:tc>
        <w:tc>
          <w:tcPr>
            <w:tcW w:w="1715" w:type="dxa"/>
          </w:tcPr>
          <w:p w14:paraId="47787850"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Campuran</w:t>
            </w:r>
          </w:p>
        </w:tc>
        <w:tc>
          <w:tcPr>
            <w:tcW w:w="1715" w:type="dxa"/>
          </w:tcPr>
          <w:p w14:paraId="73AC687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Artikel</w:t>
            </w:r>
          </w:p>
        </w:tc>
      </w:tr>
      <w:tr w:rsidR="00A2271B" w:rsidRPr="00915A5E" w14:paraId="36D0E1DC" w14:textId="77777777" w:rsidTr="0085659B">
        <w:tc>
          <w:tcPr>
            <w:tcW w:w="835" w:type="dxa"/>
          </w:tcPr>
          <w:p w14:paraId="2BC998A6"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2010</w:t>
            </w:r>
          </w:p>
        </w:tc>
        <w:tc>
          <w:tcPr>
            <w:tcW w:w="2409" w:type="dxa"/>
          </w:tcPr>
          <w:p w14:paraId="6FF1ECAC"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956" w:type="dxa"/>
          </w:tcPr>
          <w:p w14:paraId="2F11708E"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B17CAF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6AD2DF6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r>
      <w:tr w:rsidR="00A2271B" w:rsidRPr="00915A5E" w14:paraId="5BCF8DC5" w14:textId="77777777" w:rsidTr="0085659B">
        <w:tc>
          <w:tcPr>
            <w:tcW w:w="835" w:type="dxa"/>
          </w:tcPr>
          <w:p w14:paraId="0675895F"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2011</w:t>
            </w:r>
          </w:p>
        </w:tc>
        <w:tc>
          <w:tcPr>
            <w:tcW w:w="2409" w:type="dxa"/>
          </w:tcPr>
          <w:p w14:paraId="6623A9D2"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956" w:type="dxa"/>
          </w:tcPr>
          <w:p w14:paraId="0136D2D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2F43CED0"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5761BE5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r>
      <w:tr w:rsidR="00A2271B" w:rsidRPr="00915A5E" w14:paraId="4F27F5F2" w14:textId="77777777" w:rsidTr="0085659B">
        <w:tc>
          <w:tcPr>
            <w:tcW w:w="835" w:type="dxa"/>
          </w:tcPr>
          <w:p w14:paraId="447E9A47"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2012</w:t>
            </w:r>
          </w:p>
        </w:tc>
        <w:tc>
          <w:tcPr>
            <w:tcW w:w="2409" w:type="dxa"/>
          </w:tcPr>
          <w:p w14:paraId="47F17C38"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956" w:type="dxa"/>
          </w:tcPr>
          <w:p w14:paraId="163755C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63E34AB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21B59BD5"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r>
      <w:tr w:rsidR="00A2271B" w:rsidRPr="00915A5E" w14:paraId="5B834350" w14:textId="77777777" w:rsidTr="0085659B">
        <w:tc>
          <w:tcPr>
            <w:tcW w:w="835" w:type="dxa"/>
          </w:tcPr>
          <w:p w14:paraId="4B132E4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2014</w:t>
            </w:r>
          </w:p>
        </w:tc>
        <w:tc>
          <w:tcPr>
            <w:tcW w:w="2409" w:type="dxa"/>
          </w:tcPr>
          <w:p w14:paraId="39E2A90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956" w:type="dxa"/>
          </w:tcPr>
          <w:p w14:paraId="477ACEC7"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4D5B7758"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8FE36A5"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r>
      <w:tr w:rsidR="00A2271B" w:rsidRPr="00915A5E" w14:paraId="71F508EB" w14:textId="77777777" w:rsidTr="0085659B">
        <w:tc>
          <w:tcPr>
            <w:tcW w:w="835" w:type="dxa"/>
          </w:tcPr>
          <w:p w14:paraId="55BA3911"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2015</w:t>
            </w:r>
          </w:p>
        </w:tc>
        <w:tc>
          <w:tcPr>
            <w:tcW w:w="2409" w:type="dxa"/>
          </w:tcPr>
          <w:p w14:paraId="642C1552"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956" w:type="dxa"/>
          </w:tcPr>
          <w:p w14:paraId="0A3AC3F5"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0B7C475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39C91345"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3</w:t>
            </w:r>
          </w:p>
        </w:tc>
      </w:tr>
      <w:tr w:rsidR="00A2271B" w:rsidRPr="00915A5E" w14:paraId="7D4F4187" w14:textId="77777777" w:rsidTr="0085659B">
        <w:tc>
          <w:tcPr>
            <w:tcW w:w="835" w:type="dxa"/>
          </w:tcPr>
          <w:p w14:paraId="60640AD1"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lastRenderedPageBreak/>
              <w:t>2016</w:t>
            </w:r>
          </w:p>
        </w:tc>
        <w:tc>
          <w:tcPr>
            <w:tcW w:w="2409" w:type="dxa"/>
          </w:tcPr>
          <w:p w14:paraId="78FFE00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956" w:type="dxa"/>
          </w:tcPr>
          <w:p w14:paraId="0B430A5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25EFBD3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793B91A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r>
      <w:tr w:rsidR="00A2271B" w:rsidRPr="00915A5E" w14:paraId="72F17798" w14:textId="77777777" w:rsidTr="0085659B">
        <w:tc>
          <w:tcPr>
            <w:tcW w:w="835" w:type="dxa"/>
          </w:tcPr>
          <w:p w14:paraId="6491C91C"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2018</w:t>
            </w:r>
          </w:p>
        </w:tc>
        <w:tc>
          <w:tcPr>
            <w:tcW w:w="2409" w:type="dxa"/>
          </w:tcPr>
          <w:p w14:paraId="47DD14C2"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956" w:type="dxa"/>
          </w:tcPr>
          <w:p w14:paraId="07722B4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1F3CDC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12992CC"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r>
      <w:tr w:rsidR="00A2271B" w:rsidRPr="00915A5E" w14:paraId="14448061" w14:textId="77777777" w:rsidTr="0085659B">
        <w:tc>
          <w:tcPr>
            <w:tcW w:w="835" w:type="dxa"/>
          </w:tcPr>
          <w:p w14:paraId="3485FA1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2019</w:t>
            </w:r>
          </w:p>
        </w:tc>
        <w:tc>
          <w:tcPr>
            <w:tcW w:w="2409" w:type="dxa"/>
          </w:tcPr>
          <w:p w14:paraId="12D8A94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956" w:type="dxa"/>
          </w:tcPr>
          <w:p w14:paraId="1CE245CF"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3</w:t>
            </w:r>
          </w:p>
        </w:tc>
        <w:tc>
          <w:tcPr>
            <w:tcW w:w="1715" w:type="dxa"/>
          </w:tcPr>
          <w:p w14:paraId="2F9CE13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30785AEA"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5</w:t>
            </w:r>
          </w:p>
        </w:tc>
      </w:tr>
      <w:tr w:rsidR="00A2271B" w:rsidRPr="00915A5E" w14:paraId="1BE66EBF" w14:textId="77777777" w:rsidTr="0085659B">
        <w:tc>
          <w:tcPr>
            <w:tcW w:w="835" w:type="dxa"/>
          </w:tcPr>
          <w:p w14:paraId="22FDB3A6"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2020</w:t>
            </w:r>
          </w:p>
        </w:tc>
        <w:tc>
          <w:tcPr>
            <w:tcW w:w="2409" w:type="dxa"/>
          </w:tcPr>
          <w:p w14:paraId="79E1B9CC"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3</w:t>
            </w:r>
          </w:p>
        </w:tc>
        <w:tc>
          <w:tcPr>
            <w:tcW w:w="1956" w:type="dxa"/>
          </w:tcPr>
          <w:p w14:paraId="63A1C6C9"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715" w:type="dxa"/>
          </w:tcPr>
          <w:p w14:paraId="5053FAA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0C3357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5</w:t>
            </w:r>
          </w:p>
        </w:tc>
      </w:tr>
      <w:tr w:rsidR="00A2271B" w:rsidRPr="00915A5E" w14:paraId="472DDF9D" w14:textId="77777777" w:rsidTr="0085659B">
        <w:tc>
          <w:tcPr>
            <w:tcW w:w="835" w:type="dxa"/>
          </w:tcPr>
          <w:p w14:paraId="7233536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2021</w:t>
            </w:r>
          </w:p>
        </w:tc>
        <w:tc>
          <w:tcPr>
            <w:tcW w:w="2409" w:type="dxa"/>
          </w:tcPr>
          <w:p w14:paraId="361465B9"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956" w:type="dxa"/>
          </w:tcPr>
          <w:p w14:paraId="478F3E0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715" w:type="dxa"/>
          </w:tcPr>
          <w:p w14:paraId="5D4C5C60"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5580BF0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4</w:t>
            </w:r>
          </w:p>
        </w:tc>
      </w:tr>
      <w:tr w:rsidR="00A2271B" w:rsidRPr="00915A5E" w14:paraId="0A943266" w14:textId="77777777" w:rsidTr="0085659B">
        <w:tc>
          <w:tcPr>
            <w:tcW w:w="835" w:type="dxa"/>
          </w:tcPr>
          <w:p w14:paraId="45E862FA"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2022</w:t>
            </w:r>
          </w:p>
        </w:tc>
        <w:tc>
          <w:tcPr>
            <w:tcW w:w="2409" w:type="dxa"/>
          </w:tcPr>
          <w:p w14:paraId="7F29DB98"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956" w:type="dxa"/>
          </w:tcPr>
          <w:p w14:paraId="03DA6111"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6BCA6C9D"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FB5C00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r>
      <w:tr w:rsidR="00A2271B" w:rsidRPr="00915A5E" w14:paraId="464348EB" w14:textId="77777777" w:rsidTr="0085659B">
        <w:tc>
          <w:tcPr>
            <w:tcW w:w="835" w:type="dxa"/>
          </w:tcPr>
          <w:p w14:paraId="725E1778"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2023</w:t>
            </w:r>
          </w:p>
        </w:tc>
        <w:tc>
          <w:tcPr>
            <w:tcW w:w="2409" w:type="dxa"/>
          </w:tcPr>
          <w:p w14:paraId="1EB73B1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4</w:t>
            </w:r>
          </w:p>
        </w:tc>
        <w:tc>
          <w:tcPr>
            <w:tcW w:w="1956" w:type="dxa"/>
          </w:tcPr>
          <w:p w14:paraId="766211B4"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w:t>
            </w:r>
          </w:p>
        </w:tc>
        <w:tc>
          <w:tcPr>
            <w:tcW w:w="1715" w:type="dxa"/>
          </w:tcPr>
          <w:p w14:paraId="2B4E235F"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6FAFCC73"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7</w:t>
            </w:r>
          </w:p>
        </w:tc>
      </w:tr>
      <w:tr w:rsidR="00A2271B" w:rsidRPr="00915A5E" w14:paraId="66CB3699" w14:textId="77777777" w:rsidTr="0085659B">
        <w:tc>
          <w:tcPr>
            <w:tcW w:w="835" w:type="dxa"/>
          </w:tcPr>
          <w:p w14:paraId="1E514401"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2024</w:t>
            </w:r>
          </w:p>
        </w:tc>
        <w:tc>
          <w:tcPr>
            <w:tcW w:w="2409" w:type="dxa"/>
          </w:tcPr>
          <w:p w14:paraId="2EAA8BA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6</w:t>
            </w:r>
          </w:p>
        </w:tc>
        <w:tc>
          <w:tcPr>
            <w:tcW w:w="1956" w:type="dxa"/>
          </w:tcPr>
          <w:p w14:paraId="5FBCE687"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6</w:t>
            </w:r>
          </w:p>
        </w:tc>
        <w:tc>
          <w:tcPr>
            <w:tcW w:w="1715" w:type="dxa"/>
          </w:tcPr>
          <w:p w14:paraId="6CE4A6DA"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1AE1E2EC"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12</w:t>
            </w:r>
          </w:p>
        </w:tc>
      </w:tr>
      <w:tr w:rsidR="00A2271B" w:rsidRPr="00915A5E" w14:paraId="582637FF" w14:textId="77777777" w:rsidTr="0085659B">
        <w:tc>
          <w:tcPr>
            <w:tcW w:w="835" w:type="dxa"/>
          </w:tcPr>
          <w:p w14:paraId="1CFA74A2"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2025</w:t>
            </w:r>
          </w:p>
        </w:tc>
        <w:tc>
          <w:tcPr>
            <w:tcW w:w="2409" w:type="dxa"/>
          </w:tcPr>
          <w:p w14:paraId="4F5937A7"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5</w:t>
            </w:r>
          </w:p>
        </w:tc>
        <w:tc>
          <w:tcPr>
            <w:tcW w:w="1956" w:type="dxa"/>
          </w:tcPr>
          <w:p w14:paraId="2CB8E27A"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3</w:t>
            </w:r>
          </w:p>
        </w:tc>
        <w:tc>
          <w:tcPr>
            <w:tcW w:w="1715" w:type="dxa"/>
          </w:tcPr>
          <w:p w14:paraId="4BD52FDF"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0</w:t>
            </w:r>
          </w:p>
        </w:tc>
        <w:tc>
          <w:tcPr>
            <w:tcW w:w="1715" w:type="dxa"/>
          </w:tcPr>
          <w:p w14:paraId="4C9A57C6"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8</w:t>
            </w:r>
          </w:p>
        </w:tc>
      </w:tr>
      <w:tr w:rsidR="00A2271B" w:rsidRPr="00915A5E" w14:paraId="4FA5FB5D" w14:textId="77777777" w:rsidTr="0085659B">
        <w:tc>
          <w:tcPr>
            <w:tcW w:w="835" w:type="dxa"/>
          </w:tcPr>
          <w:p w14:paraId="4D3F0F26"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Total</w:t>
            </w:r>
          </w:p>
        </w:tc>
        <w:tc>
          <w:tcPr>
            <w:tcW w:w="2409" w:type="dxa"/>
          </w:tcPr>
          <w:p w14:paraId="0734F2A9"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32</w:t>
            </w:r>
          </w:p>
        </w:tc>
        <w:tc>
          <w:tcPr>
            <w:tcW w:w="1956" w:type="dxa"/>
          </w:tcPr>
          <w:p w14:paraId="154DE64F"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22</w:t>
            </w:r>
          </w:p>
        </w:tc>
        <w:tc>
          <w:tcPr>
            <w:tcW w:w="1715" w:type="dxa"/>
          </w:tcPr>
          <w:p w14:paraId="68891EEB"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1</w:t>
            </w:r>
          </w:p>
        </w:tc>
        <w:tc>
          <w:tcPr>
            <w:tcW w:w="1715" w:type="dxa"/>
          </w:tcPr>
          <w:p w14:paraId="6F73FC61" w14:textId="77777777" w:rsidR="00A2271B" w:rsidRPr="00915A5E" w:rsidRDefault="00A2271B" w:rsidP="0085659B">
            <w:pPr>
              <w:pStyle w:val="ListParagraph"/>
              <w:spacing w:line="276" w:lineRule="auto"/>
              <w:ind w:left="0"/>
              <w:jc w:val="center"/>
              <w:rPr>
                <w:rFonts w:ascii="Adobe Garamond Pro" w:hAnsi="Adobe Garamond Pro" w:cs="Arial"/>
              </w:rPr>
            </w:pPr>
            <w:r w:rsidRPr="00915A5E">
              <w:rPr>
                <w:rFonts w:ascii="Adobe Garamond Pro" w:hAnsi="Adobe Garamond Pro" w:cs="Arial"/>
              </w:rPr>
              <w:t>55</w:t>
            </w:r>
          </w:p>
        </w:tc>
      </w:tr>
    </w:tbl>
    <w:p w14:paraId="2BA1781C" w14:textId="0687E4E2" w:rsidR="00676004" w:rsidRPr="00915A5E" w:rsidRDefault="00825BC7" w:rsidP="00676004">
      <w:pPr>
        <w:tabs>
          <w:tab w:val="left" w:pos="0"/>
          <w:tab w:val="left" w:pos="360"/>
        </w:tabs>
        <w:suppressAutoHyphens/>
        <w:spacing w:after="0" w:line="360" w:lineRule="auto"/>
        <w:jc w:val="both"/>
        <w:rPr>
          <w:rFonts w:ascii="Adobe Garamond Pro" w:hAnsi="Adobe Garamond Pro" w:cs="Arial"/>
          <w:color w:val="2E74B5" w:themeColor="accent1" w:themeShade="BF"/>
        </w:rPr>
      </w:pPr>
      <w:r w:rsidRPr="00915A5E">
        <w:rPr>
          <w:rFonts w:ascii="Adobe Garamond Pro" w:hAnsi="Adobe Garamond Pro" w:cs="Arial"/>
          <w:color w:val="2E74B5" w:themeColor="accent1" w:themeShade="BF"/>
        </w:rPr>
        <w:t>Source:</w:t>
      </w:r>
      <w:r w:rsidR="00676004" w:rsidRPr="00915A5E">
        <w:rPr>
          <w:rFonts w:ascii="Adobe Garamond Pro" w:hAnsi="Adobe Garamond Pro" w:cs="Arial"/>
          <w:color w:val="2E74B5" w:themeColor="accent1" w:themeShade="BF"/>
        </w:rPr>
        <w:t xml:space="preserve"> Data penelitian</w:t>
      </w:r>
    </w:p>
    <w:p w14:paraId="521DBED0" w14:textId="6C89A150" w:rsidR="00A67F58" w:rsidRPr="00915A5E" w:rsidRDefault="00A67F58" w:rsidP="00A2271B">
      <w:pPr>
        <w:tabs>
          <w:tab w:val="left" w:pos="360"/>
        </w:tabs>
        <w:spacing w:after="0" w:line="360" w:lineRule="auto"/>
        <w:rPr>
          <w:rFonts w:ascii="Adobe Garamond Pro" w:hAnsi="Adobe Garamond Pro" w:cs="Arial"/>
          <w:color w:val="2E74B5" w:themeColor="accent1" w:themeShade="BF"/>
        </w:rPr>
      </w:pPr>
    </w:p>
    <w:p w14:paraId="7A4DBF1A" w14:textId="77777777" w:rsidR="00A2271B" w:rsidRPr="00D71A70" w:rsidRDefault="00A2271B">
      <w:pPr>
        <w:tabs>
          <w:tab w:val="left" w:pos="0"/>
          <w:tab w:val="left" w:pos="360"/>
        </w:tabs>
        <w:suppressAutoHyphens/>
        <w:spacing w:after="0" w:line="360" w:lineRule="auto"/>
        <w:jc w:val="both"/>
        <w:rPr>
          <w:rFonts w:ascii="Arial" w:hAnsi="Arial" w:cs="Arial"/>
        </w:rPr>
      </w:pPr>
    </w:p>
    <w:p w14:paraId="2615B28C" w14:textId="2CE469D1" w:rsidR="005E2E8C" w:rsidRDefault="007672DE" w:rsidP="00A2271B">
      <w:pPr>
        <w:pStyle w:val="ListParagraph"/>
        <w:numPr>
          <w:ilvl w:val="0"/>
          <w:numId w:val="11"/>
        </w:numPr>
        <w:tabs>
          <w:tab w:val="left" w:pos="360"/>
        </w:tabs>
        <w:suppressAutoHyphens/>
        <w:spacing w:after="0" w:line="360" w:lineRule="auto"/>
        <w:jc w:val="both"/>
        <w:rPr>
          <w:rFonts w:ascii="Arial" w:hAnsi="Arial" w:cs="Arial"/>
          <w:b/>
          <w:color w:val="0070C0"/>
        </w:rPr>
      </w:pPr>
      <w:r w:rsidRPr="007B7C03">
        <w:rPr>
          <w:rFonts w:ascii="Arial" w:hAnsi="Arial" w:cs="Arial"/>
          <w:b/>
          <w:color w:val="0070C0"/>
        </w:rPr>
        <w:t xml:space="preserve">CONCLUSION AND SUGGESTION </w:t>
      </w:r>
    </w:p>
    <w:p w14:paraId="52570926" w14:textId="23343D05" w:rsidR="00724D19" w:rsidRPr="005E2E8C" w:rsidRDefault="00724D19" w:rsidP="005E2E8C">
      <w:pPr>
        <w:tabs>
          <w:tab w:val="left" w:pos="360"/>
        </w:tabs>
        <w:suppressAutoHyphens/>
        <w:spacing w:after="0" w:line="360" w:lineRule="auto"/>
        <w:ind w:left="360"/>
        <w:jc w:val="both"/>
        <w:rPr>
          <w:rFonts w:ascii="Arial" w:hAnsi="Arial" w:cs="Arial"/>
          <w:b/>
          <w:color w:val="0070C0"/>
        </w:rPr>
      </w:pPr>
      <w:r w:rsidRPr="005E2E8C">
        <w:rPr>
          <w:rFonts w:ascii="Arial" w:hAnsi="Arial" w:cs="Arial"/>
          <w:b/>
          <w:bCs/>
          <w:color w:val="5B9BD5" w:themeColor="accent1"/>
        </w:rPr>
        <w:t>Kesimpulan</w:t>
      </w:r>
    </w:p>
    <w:p w14:paraId="582EC08B" w14:textId="77777777" w:rsidR="005E2E8C" w:rsidRPr="000B2A19" w:rsidRDefault="00724D19" w:rsidP="000B2A19">
      <w:pPr>
        <w:pStyle w:val="ListParagraph"/>
        <w:tabs>
          <w:tab w:val="left" w:pos="360"/>
        </w:tabs>
        <w:suppressAutoHyphens/>
        <w:spacing w:after="0" w:line="360" w:lineRule="auto"/>
        <w:ind w:left="357"/>
        <w:contextualSpacing w:val="0"/>
        <w:jc w:val="both"/>
        <w:rPr>
          <w:rFonts w:ascii="Adobe Garamond Pro" w:hAnsi="Adobe Garamond Pro" w:cs="Arial"/>
        </w:rPr>
      </w:pPr>
      <w:r w:rsidRPr="000B2A19">
        <w:rPr>
          <w:rFonts w:ascii="Adobe Garamond Pro" w:hAnsi="Adobe Garamond Pro" w:cs="Arial"/>
        </w:rPr>
        <w:t>Berdasarkan hasil tinjauan literatur yang telah dilakukan, dapat disimpulkan bahwa audit lingkungan memiliki peran penting dalam tata kelola kegiatan pertambangan, khususnya dalam pengelolaan limbah tailing dan upaya meminimalkan dampak sosio-ekologis yang berimplikasi pada keamanan manusia. Namun demikian, praktik audit lingkungan di sektor pertambangan Indonesia masih didominasi oleh pendekatan berbasis kepatuhan administratif, sehingga belum sepenuhnya mampu mencerminkan kinerja lingkungan yang sesungguhnya di lapangan.</w:t>
      </w:r>
    </w:p>
    <w:p w14:paraId="0DAD4EF9" w14:textId="77777777" w:rsidR="005E2E8C" w:rsidRPr="000B2A19" w:rsidRDefault="00724D19" w:rsidP="005E2E8C">
      <w:pPr>
        <w:pStyle w:val="ListParagraph"/>
        <w:tabs>
          <w:tab w:val="left" w:pos="360"/>
        </w:tabs>
        <w:suppressAutoHyphens/>
        <w:spacing w:after="0" w:line="360" w:lineRule="auto"/>
        <w:ind w:left="357" w:firstLine="357"/>
        <w:contextualSpacing w:val="0"/>
        <w:jc w:val="both"/>
        <w:rPr>
          <w:rFonts w:ascii="Adobe Garamond Pro" w:hAnsi="Adobe Garamond Pro" w:cs="Arial"/>
        </w:rPr>
      </w:pPr>
      <w:r w:rsidRPr="000B2A19">
        <w:rPr>
          <w:rFonts w:ascii="Adobe Garamond Pro" w:hAnsi="Adobe Garamond Pro" w:cs="Arial"/>
        </w:rPr>
        <w:t>Literatur yang dikaji menunjukkan bahwa lemahnya implementasi audit lingkungan dan pengelolaan tailing berkontribusi terhadap meningkatnya risiko lingkungan dan sosial, terutama bagi masyarakat yang tinggal di sekitar wilayah pertambangan. Meskipun kerangka regulasi audit lingkungan telah tersedia, efektivitas pelaksanaannya masih menghadapi berbagai kendala, seperti keterbatasan kapasitas institusional, lemahnya penegakan hukum, serta belum terintegrasinya aspek sosial dan keamanan manusia dalam proses audit. Temuan ini menegaskan adanya kesenjangan antara tujuan normatif audit lingkungan dan praktik implementasinya dalam mendukung keberlanjutan pertambangan di Indonesia</w:t>
      </w:r>
      <w:r w:rsidR="00F07765" w:rsidRPr="000B2A19">
        <w:rPr>
          <w:rFonts w:ascii="Adobe Garamond Pro" w:hAnsi="Adobe Garamond Pro" w:cs="Arial"/>
        </w:rPr>
        <w:t>.</w:t>
      </w:r>
    </w:p>
    <w:p w14:paraId="15988DD3" w14:textId="51BC4CAE" w:rsidR="00724D19" w:rsidRPr="005E2E8C" w:rsidRDefault="000B2A19" w:rsidP="005E2E8C">
      <w:pPr>
        <w:tabs>
          <w:tab w:val="left" w:pos="360"/>
        </w:tabs>
        <w:suppressAutoHyphens/>
        <w:spacing w:after="0" w:line="360" w:lineRule="auto"/>
        <w:jc w:val="both"/>
        <w:rPr>
          <w:rFonts w:ascii="Arial" w:hAnsi="Arial" w:cs="Arial"/>
        </w:rPr>
      </w:pPr>
      <w:r>
        <w:rPr>
          <w:rFonts w:ascii="Arial" w:hAnsi="Arial" w:cs="Arial"/>
          <w:b/>
          <w:color w:val="0070C0"/>
        </w:rPr>
        <w:tab/>
      </w:r>
      <w:r w:rsidR="00724D19" w:rsidRPr="005E2E8C">
        <w:rPr>
          <w:rFonts w:ascii="Arial" w:hAnsi="Arial" w:cs="Arial"/>
          <w:b/>
          <w:color w:val="0070C0"/>
        </w:rPr>
        <w:t>Saran</w:t>
      </w:r>
    </w:p>
    <w:p w14:paraId="51A97258" w14:textId="77777777" w:rsidR="00724D19" w:rsidRPr="000B2A19" w:rsidRDefault="00724D19" w:rsidP="000B2A19">
      <w:pPr>
        <w:pStyle w:val="ListParagraph"/>
        <w:tabs>
          <w:tab w:val="left" w:pos="360"/>
        </w:tabs>
        <w:suppressAutoHyphens/>
        <w:spacing w:after="0" w:line="360" w:lineRule="auto"/>
        <w:ind w:left="357"/>
        <w:contextualSpacing w:val="0"/>
        <w:jc w:val="both"/>
        <w:rPr>
          <w:rFonts w:ascii="Adobe Garamond Pro" w:hAnsi="Adobe Garamond Pro" w:cs="Arial"/>
        </w:rPr>
      </w:pPr>
      <w:r w:rsidRPr="000B2A19">
        <w:rPr>
          <w:rFonts w:ascii="Adobe Garamond Pro" w:hAnsi="Adobe Garamond Pro" w:cs="Arial"/>
        </w:rPr>
        <w:t xml:space="preserve">Berdasarkan kesimpulan tersebut, penelitian ini memberikan beberapa rekomendasi. Pertama, pelaksanaan audit lingkungan di sektor pertambangan perlu diarahkan dari pendekatan berbasis kepatuhan menuju pendekatan berbasis kinerja yang menekankan pada hasil nyata perlindungan lingkungan dan pencegahan risiko. Kedua, indikator keamanan manusia, seperti kesehatan masyarakat, </w:t>
      </w:r>
      <w:r w:rsidRPr="000B2A19">
        <w:rPr>
          <w:rFonts w:ascii="Adobe Garamond Pro" w:hAnsi="Adobe Garamond Pro" w:cs="Arial"/>
        </w:rPr>
        <w:lastRenderedPageBreak/>
        <w:t>keselamatan lingkungan, dan ketahanan sosial-ekonomi, perlu diintegrasikan secara sistematis dalam kerangka audit lingkungan.</w:t>
      </w:r>
    </w:p>
    <w:p w14:paraId="1C9E7D4E" w14:textId="2EBE0007" w:rsidR="00724D19" w:rsidRPr="000B2A19" w:rsidRDefault="00724D19" w:rsidP="00844F19">
      <w:pPr>
        <w:pStyle w:val="ListParagraph"/>
        <w:tabs>
          <w:tab w:val="left" w:pos="360"/>
        </w:tabs>
        <w:suppressAutoHyphens/>
        <w:spacing w:after="0" w:line="360" w:lineRule="auto"/>
        <w:ind w:left="360"/>
        <w:contextualSpacing w:val="0"/>
        <w:jc w:val="both"/>
        <w:rPr>
          <w:rFonts w:ascii="Adobe Garamond Pro" w:hAnsi="Adobe Garamond Pro" w:cs="Arial"/>
        </w:rPr>
      </w:pPr>
      <w:r w:rsidRPr="000B2A19">
        <w:rPr>
          <w:rFonts w:ascii="Adobe Garamond Pro" w:hAnsi="Adobe Garamond Pro" w:cs="Arial"/>
        </w:rPr>
        <w:t>Ketiga, penguatan koordinasi antar lembaga terkait serta peningkatan transparansi dalam proses audit lingkungan menjadi langkah penting untuk meningkatkan akuntabilitas dan efektivitas pengawasan, khususnya dalam pengelolaan limbah tailing. Terakhir, penelitian selanjutnya disarankan untuk menggunakan pendekatan empiris, seperti studi kasus atau metode campuran, guna menilai secara langsung efektivitas audit lingkungan dan dampaknya terhadap keamanan manusia di wilayah pertambangan Indonesia.</w:t>
      </w:r>
    </w:p>
    <w:p w14:paraId="390DFD79" w14:textId="77777777" w:rsidR="00E1460F" w:rsidRPr="00D71A70" w:rsidRDefault="00E1460F" w:rsidP="00844F19">
      <w:pPr>
        <w:pStyle w:val="ListParagraph"/>
        <w:tabs>
          <w:tab w:val="left" w:pos="360"/>
        </w:tabs>
        <w:suppressAutoHyphens/>
        <w:spacing w:after="0" w:line="360" w:lineRule="auto"/>
        <w:ind w:left="360"/>
        <w:contextualSpacing w:val="0"/>
        <w:jc w:val="both"/>
        <w:rPr>
          <w:rFonts w:ascii="Arial" w:hAnsi="Arial" w:cs="Arial"/>
        </w:rPr>
      </w:pPr>
    </w:p>
    <w:p w14:paraId="058CF513" w14:textId="77777777" w:rsidR="00E1460F" w:rsidRPr="00D71A70" w:rsidRDefault="00E1460F" w:rsidP="00E1460F">
      <w:pPr>
        <w:tabs>
          <w:tab w:val="left" w:pos="360"/>
        </w:tabs>
        <w:spacing w:after="0" w:line="360" w:lineRule="auto"/>
        <w:ind w:left="360" w:hanging="360"/>
        <w:jc w:val="both"/>
        <w:rPr>
          <w:rFonts w:ascii="Arial" w:hAnsi="Arial" w:cs="Arial"/>
          <w:b/>
          <w:color w:val="2E74B5" w:themeColor="accent1" w:themeShade="BF"/>
        </w:rPr>
      </w:pPr>
      <w:r w:rsidRPr="00D71A70">
        <w:rPr>
          <w:rFonts w:ascii="Arial" w:hAnsi="Arial" w:cs="Arial"/>
          <w:b/>
          <w:color w:val="2E74B5" w:themeColor="accent1" w:themeShade="BF"/>
        </w:rPr>
        <w:t>ACKNOWLEDGEMENT (IF ANY)</w:t>
      </w:r>
    </w:p>
    <w:p w14:paraId="0BA28F54" w14:textId="4883438F" w:rsidR="00E1460F" w:rsidRPr="000B2A19" w:rsidRDefault="00E1460F" w:rsidP="00E1460F">
      <w:pPr>
        <w:tabs>
          <w:tab w:val="left" w:pos="360"/>
          <w:tab w:val="left" w:pos="993"/>
        </w:tabs>
        <w:spacing w:after="0" w:line="360" w:lineRule="auto"/>
        <w:jc w:val="both"/>
        <w:rPr>
          <w:rFonts w:ascii="Adobe Garamond Pro" w:hAnsi="Adobe Garamond Pro" w:cs="Arial"/>
          <w:lang w:val="id-ID"/>
        </w:rPr>
      </w:pPr>
      <w:r w:rsidRPr="000B2A19">
        <w:rPr>
          <w:rFonts w:ascii="Adobe Garamond Pro" w:hAnsi="Adobe Garamond Pro" w:cs="Arial"/>
          <w:lang w:val="id-ID"/>
        </w:rPr>
        <w:t>Penulis mengucapkan terima kasih kepada Pak Mazmur, SE.,Ak.,C.A,M.SM sebagai pembingbin akademik, yang telah memberikan dukungan akademik dan masukan selama proses penyusunan artikel ini</w:t>
      </w:r>
      <w:r w:rsidR="00745412" w:rsidRPr="000B2A19">
        <w:rPr>
          <w:rFonts w:ascii="Adobe Garamond Pro" w:hAnsi="Adobe Garamond Pro" w:cs="Arial"/>
          <w:lang w:val="id-ID"/>
        </w:rPr>
        <w:t>.</w:t>
      </w:r>
    </w:p>
    <w:p w14:paraId="63EB8351" w14:textId="77777777" w:rsidR="00745412" w:rsidRDefault="00745412" w:rsidP="00E1460F">
      <w:pPr>
        <w:tabs>
          <w:tab w:val="left" w:pos="360"/>
          <w:tab w:val="left" w:pos="993"/>
        </w:tabs>
        <w:spacing w:after="0" w:line="360" w:lineRule="auto"/>
        <w:jc w:val="both"/>
        <w:rPr>
          <w:rFonts w:ascii="Arial" w:hAnsi="Arial" w:cs="Arial"/>
          <w:lang w:val="id-ID"/>
        </w:rPr>
      </w:pPr>
    </w:p>
    <w:p w14:paraId="204F2FE0" w14:textId="3FD697EC" w:rsidR="00745412" w:rsidRPr="00745412" w:rsidRDefault="00745412" w:rsidP="00E1460F">
      <w:pPr>
        <w:tabs>
          <w:tab w:val="left" w:pos="360"/>
          <w:tab w:val="left" w:pos="993"/>
        </w:tabs>
        <w:spacing w:after="0" w:line="360" w:lineRule="auto"/>
        <w:jc w:val="both"/>
        <w:rPr>
          <w:rFonts w:cstheme="minorHAnsi"/>
          <w:b/>
          <w:bCs/>
          <w:color w:val="2E74B5" w:themeColor="accent1" w:themeShade="BF"/>
          <w:lang w:val="id-ID"/>
        </w:rPr>
      </w:pPr>
      <w:r w:rsidRPr="00DC3EFC">
        <w:rPr>
          <w:rFonts w:cstheme="minorHAnsi"/>
          <w:b/>
          <w:bCs/>
          <w:color w:val="2E74B5" w:themeColor="accent1" w:themeShade="BF"/>
          <w:lang w:val="id-ID"/>
        </w:rPr>
        <w:t xml:space="preserve">Declaration of AI and AI-assisted technologies in the writing process </w:t>
      </w:r>
    </w:p>
    <w:p w14:paraId="3AF67B1D" w14:textId="6F86B503" w:rsidR="00E95657" w:rsidRPr="000B2A19" w:rsidRDefault="00E1460F" w:rsidP="00C71AB1">
      <w:pPr>
        <w:tabs>
          <w:tab w:val="left" w:pos="360"/>
        </w:tabs>
        <w:suppressAutoHyphens/>
        <w:spacing w:after="0" w:line="360" w:lineRule="auto"/>
        <w:jc w:val="both"/>
        <w:rPr>
          <w:rFonts w:ascii="Adobe Garamond Pro" w:hAnsi="Adobe Garamond Pro" w:cs="Arial"/>
        </w:rPr>
      </w:pPr>
      <w:r w:rsidRPr="000B2A19">
        <w:rPr>
          <w:rFonts w:ascii="Adobe Garamond Pro" w:hAnsi="Adobe Garamond Pro" w:cs="Arial"/>
          <w:lang w:val="id-ID"/>
        </w:rPr>
        <w:t>Selama proses penulisan artikel ini, penulis menggunakan ChatGPT sebagai alat bantu untuk penyuntingan bahasa dan perumusan kalimat. Setelah menggunakan alat tersebut, penulis melakukan peninjauan dan penyuntingan ulang serta bertanggung jawab penuh atas isi artikel</w:t>
      </w:r>
    </w:p>
    <w:p w14:paraId="7DC82F1C" w14:textId="77777777" w:rsidR="00C71AB1" w:rsidRPr="00C71AB1" w:rsidRDefault="00C71AB1" w:rsidP="00C71AB1">
      <w:pPr>
        <w:tabs>
          <w:tab w:val="left" w:pos="360"/>
        </w:tabs>
        <w:suppressAutoHyphens/>
        <w:spacing w:after="0" w:line="360" w:lineRule="auto"/>
        <w:jc w:val="both"/>
        <w:rPr>
          <w:rFonts w:ascii="Times New Roman" w:hAnsi="Times New Roman" w:cs="Times New Roman"/>
          <w:sz w:val="24"/>
          <w:szCs w:val="24"/>
        </w:rPr>
      </w:pPr>
    </w:p>
    <w:p w14:paraId="369A3C2B" w14:textId="268F1FB0" w:rsidR="006D633A" w:rsidRPr="00F07765" w:rsidRDefault="007672DE" w:rsidP="00F07765">
      <w:pPr>
        <w:tabs>
          <w:tab w:val="left" w:pos="360"/>
        </w:tabs>
        <w:spacing w:after="0" w:line="360" w:lineRule="auto"/>
        <w:ind w:left="360" w:hanging="360"/>
        <w:jc w:val="both"/>
        <w:rPr>
          <w:rFonts w:ascii="Arial" w:hAnsi="Arial" w:cs="Arial"/>
          <w:b/>
          <w:color w:val="0070C0"/>
        </w:rPr>
      </w:pPr>
      <w:r w:rsidRPr="007672DE">
        <w:rPr>
          <w:rFonts w:ascii="Arial" w:hAnsi="Arial" w:cs="Arial"/>
          <w:b/>
          <w:color w:val="0070C0"/>
        </w:rPr>
        <w:t>REFERENCE</w:t>
      </w:r>
      <w:r>
        <w:rPr>
          <w:rFonts w:ascii="Arial" w:hAnsi="Arial" w:cs="Arial"/>
          <w:b/>
          <w:color w:val="0070C0"/>
        </w:rPr>
        <w:t xml:space="preserve"> </w:t>
      </w:r>
    </w:p>
    <w:p w14:paraId="50E10C37" w14:textId="0BFC3338" w:rsidR="00A67F58" w:rsidRPr="006D633A" w:rsidRDefault="00A67F58" w:rsidP="00F07765">
      <w:pPr>
        <w:tabs>
          <w:tab w:val="center" w:pos="4535"/>
          <w:tab w:val="left" w:pos="6760"/>
        </w:tabs>
        <w:spacing w:after="0" w:line="240" w:lineRule="auto"/>
        <w:rPr>
          <w:rFonts w:ascii="Adobe Garamond Pro" w:hAnsi="Adobe Garamond Pro" w:cstheme="minorHAnsi"/>
          <w:b/>
          <w:lang w:val="id-ID"/>
        </w:rPr>
      </w:pPr>
    </w:p>
    <w:p w14:paraId="649E6A9A" w14:textId="77777777" w:rsidR="00A67F58" w:rsidRPr="00F07765" w:rsidRDefault="00825BC7">
      <w:pPr>
        <w:tabs>
          <w:tab w:val="left" w:pos="993"/>
        </w:tabs>
        <w:spacing w:after="80" w:line="240" w:lineRule="auto"/>
        <w:rPr>
          <w:rFonts w:ascii="Times New Roman" w:hAnsi="Times New Roman" w:cs="Times New Roman"/>
          <w:b/>
          <w:sz w:val="24"/>
          <w:szCs w:val="24"/>
          <w:lang w:val="id-ID"/>
        </w:rPr>
      </w:pPr>
      <w:r w:rsidRPr="00F07765">
        <w:rPr>
          <w:rFonts w:ascii="Times New Roman" w:hAnsi="Times New Roman" w:cs="Times New Roman"/>
          <w:b/>
          <w:sz w:val="24"/>
          <w:szCs w:val="24"/>
          <w:lang w:val="id-ID"/>
        </w:rPr>
        <w:t xml:space="preserve">Journal </w:t>
      </w:r>
    </w:p>
    <w:p w14:paraId="27045D67"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Astuti, R. (2018). Keamanan manusia dan degradasi lingkungan di Papua. </w:t>
      </w:r>
      <w:r w:rsidRPr="000B2A19">
        <w:rPr>
          <w:rFonts w:ascii="Adobe Garamond Pro" w:hAnsi="Adobe Garamond Pro" w:cs="Times New Roman"/>
          <w:i/>
          <w:iCs/>
          <w:shd w:val="clear" w:color="auto" w:fill="FFFFFF"/>
          <w:lang w:val="id-ID"/>
        </w:rPr>
        <w:t>Jurnal Ilmu Sosial dan Ilmu Politik</w:t>
      </w:r>
      <w:r w:rsidRPr="000B2A19">
        <w:rPr>
          <w:rFonts w:ascii="Adobe Garamond Pro" w:hAnsi="Adobe Garamond Pro" w:cs="Times New Roman"/>
          <w:shd w:val="clear" w:color="auto" w:fill="FFFFFF"/>
          <w:lang w:val="id-ID"/>
        </w:rPr>
        <w:t>, 22(3), 215–229.</w:t>
      </w:r>
    </w:p>
    <w:p w14:paraId="6D7FF8C7"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Karsadi, R., Nugroho, L., &amp; Prasetyo, A. (2023). Corporate legitimacy and sustainability disclosure. </w:t>
      </w:r>
      <w:r w:rsidRPr="000B2A19">
        <w:rPr>
          <w:rFonts w:ascii="Adobe Garamond Pro" w:hAnsi="Adobe Garamond Pro" w:cs="Times New Roman"/>
          <w:i/>
          <w:iCs/>
          <w:shd w:val="clear" w:color="auto" w:fill="FFFFFF"/>
          <w:lang w:val="id-ID"/>
        </w:rPr>
        <w:t>Journal of Infrastructure, Policy and Development</w:t>
      </w:r>
      <w:r w:rsidRPr="000B2A19">
        <w:rPr>
          <w:rFonts w:ascii="Adobe Garamond Pro" w:hAnsi="Adobe Garamond Pro" w:cs="Times New Roman"/>
          <w:shd w:val="clear" w:color="auto" w:fill="FFFFFF"/>
          <w:lang w:val="id-ID"/>
        </w:rPr>
        <w:t>, 7(2), 1–17.</w:t>
      </w:r>
    </w:p>
    <w:p w14:paraId="6177EB9E"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Lo, M., et al. (2024). Nickel mining reduced forest cover in Indonesia but had mixed outcomes for well-being. </w:t>
      </w:r>
      <w:r w:rsidRPr="000B2A19">
        <w:rPr>
          <w:rFonts w:ascii="Adobe Garamond Pro" w:hAnsi="Adobe Garamond Pro" w:cs="Times New Roman"/>
          <w:i/>
          <w:iCs/>
          <w:shd w:val="clear" w:color="auto" w:fill="FFFFFF"/>
          <w:lang w:val="id-ID"/>
        </w:rPr>
        <w:t>One Earth</w:t>
      </w:r>
      <w:r w:rsidRPr="000B2A19">
        <w:rPr>
          <w:rFonts w:ascii="Adobe Garamond Pro" w:hAnsi="Adobe Garamond Pro" w:cs="Times New Roman"/>
          <w:shd w:val="clear" w:color="auto" w:fill="FFFFFF"/>
          <w:lang w:val="id-ID"/>
        </w:rPr>
        <w:t>, 7(4), 563–575.</w:t>
      </w:r>
    </w:p>
    <w:p w14:paraId="5096FA05"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McDermott, M., et al. (2022). Catastrophic tailings dam failures and disaster risk reduction. </w:t>
      </w:r>
      <w:r w:rsidRPr="000B2A19">
        <w:rPr>
          <w:rFonts w:ascii="Adobe Garamond Pro" w:hAnsi="Adobe Garamond Pro" w:cs="Times New Roman"/>
          <w:i/>
          <w:iCs/>
          <w:shd w:val="clear" w:color="auto" w:fill="FFFFFF"/>
          <w:lang w:val="id-ID"/>
        </w:rPr>
        <w:t>Scientific Reports</w:t>
      </w:r>
      <w:r w:rsidRPr="000B2A19">
        <w:rPr>
          <w:rFonts w:ascii="Adobe Garamond Pro" w:hAnsi="Adobe Garamond Pro" w:cs="Times New Roman"/>
          <w:shd w:val="clear" w:color="auto" w:fill="FFFFFF"/>
          <w:lang w:val="id-ID"/>
        </w:rPr>
        <w:t>, 12, 14567.</w:t>
      </w:r>
    </w:p>
    <w:p w14:paraId="4B0261B1"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Mwaura, G. (2019). Environmental auditing and regulatory compliance in extractive industries. </w:t>
      </w:r>
      <w:r w:rsidRPr="000B2A19">
        <w:rPr>
          <w:rFonts w:ascii="Adobe Garamond Pro" w:hAnsi="Adobe Garamond Pro" w:cs="Times New Roman"/>
          <w:i/>
          <w:iCs/>
          <w:shd w:val="clear" w:color="auto" w:fill="FFFFFF"/>
          <w:lang w:val="id-ID"/>
        </w:rPr>
        <w:t>Journal of Environmental Management</w:t>
      </w:r>
      <w:r w:rsidRPr="000B2A19">
        <w:rPr>
          <w:rFonts w:ascii="Adobe Garamond Pro" w:hAnsi="Adobe Garamond Pro" w:cs="Times New Roman"/>
          <w:shd w:val="clear" w:color="auto" w:fill="FFFFFF"/>
          <w:lang w:val="id-ID"/>
        </w:rPr>
        <w:t>, 245, 334–342.</w:t>
      </w:r>
    </w:p>
    <w:p w14:paraId="356A8EE8"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Owen, J. R., &amp; Kemp, D. (2020). On the brink of social resistance: Social license and mining. </w:t>
      </w:r>
      <w:r w:rsidRPr="000B2A19">
        <w:rPr>
          <w:rFonts w:ascii="Adobe Garamond Pro" w:hAnsi="Adobe Garamond Pro" w:cs="Times New Roman"/>
          <w:i/>
          <w:iCs/>
          <w:shd w:val="clear" w:color="auto" w:fill="FFFFFF"/>
          <w:lang w:val="id-ID"/>
        </w:rPr>
        <w:t>The Extractive Industries and Society</w:t>
      </w:r>
      <w:r w:rsidRPr="000B2A19">
        <w:rPr>
          <w:rFonts w:ascii="Adobe Garamond Pro" w:hAnsi="Adobe Garamond Pro" w:cs="Times New Roman"/>
          <w:shd w:val="clear" w:color="auto" w:fill="FFFFFF"/>
          <w:lang w:val="id-ID"/>
        </w:rPr>
        <w:t>, 7(3), 852–864.</w:t>
      </w:r>
    </w:p>
    <w:p w14:paraId="53F91852"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Prakoso, S. G., et al. (2023). The importance of securitization in addressing environmental issues: Case on Freeport’s tailing waste. </w:t>
      </w:r>
      <w:r w:rsidRPr="000B2A19">
        <w:rPr>
          <w:rFonts w:ascii="Adobe Garamond Pro" w:hAnsi="Adobe Garamond Pro" w:cs="Times New Roman"/>
          <w:i/>
          <w:iCs/>
          <w:shd w:val="clear" w:color="auto" w:fill="FFFFFF"/>
          <w:lang w:val="id-ID"/>
        </w:rPr>
        <w:t>Global South Review</w:t>
      </w:r>
      <w:r w:rsidRPr="000B2A19">
        <w:rPr>
          <w:rFonts w:ascii="Adobe Garamond Pro" w:hAnsi="Adobe Garamond Pro" w:cs="Times New Roman"/>
          <w:shd w:val="clear" w:color="auto" w:fill="FFFFFF"/>
          <w:lang w:val="id-ID"/>
        </w:rPr>
        <w:t>, 7(2), 122–133.</w:t>
      </w:r>
    </w:p>
    <w:p w14:paraId="1626EAEB"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lastRenderedPageBreak/>
        <w:t xml:space="preserve">Rahmat, K. A., et al. (2020). Environmental impact assessment of nickel smelter development. </w:t>
      </w:r>
      <w:r w:rsidRPr="000B2A19">
        <w:rPr>
          <w:rFonts w:ascii="Adobe Garamond Pro" w:hAnsi="Adobe Garamond Pro" w:cs="Times New Roman"/>
          <w:i/>
          <w:iCs/>
          <w:shd w:val="clear" w:color="auto" w:fill="FFFFFF"/>
          <w:lang w:val="id-ID"/>
        </w:rPr>
        <w:t>Heliyon</w:t>
      </w:r>
      <w:r w:rsidRPr="000B2A19">
        <w:rPr>
          <w:rFonts w:ascii="Adobe Garamond Pro" w:hAnsi="Adobe Garamond Pro" w:cs="Times New Roman"/>
          <w:shd w:val="clear" w:color="auto" w:fill="FFFFFF"/>
          <w:lang w:val="id-ID"/>
        </w:rPr>
        <w:t>, 6(5), e04051.</w:t>
      </w:r>
    </w:p>
    <w:p w14:paraId="6E0EE6C6"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shd w:val="clear" w:color="auto" w:fill="FFFFFF"/>
          <w:lang w:val="id-ID"/>
        </w:rPr>
      </w:pPr>
      <w:r w:rsidRPr="000B2A19">
        <w:rPr>
          <w:rFonts w:ascii="Adobe Garamond Pro" w:hAnsi="Adobe Garamond Pro" w:cs="Times New Roman"/>
          <w:shd w:val="clear" w:color="auto" w:fill="FFFFFF"/>
          <w:lang w:val="id-ID"/>
        </w:rPr>
        <w:t xml:space="preserve">Zulqarnain, M., et al. (2024). Compliance versus performance in environmental auditing. </w:t>
      </w:r>
      <w:r w:rsidRPr="000B2A19">
        <w:rPr>
          <w:rFonts w:ascii="Adobe Garamond Pro" w:hAnsi="Adobe Garamond Pro" w:cs="Times New Roman"/>
          <w:i/>
          <w:iCs/>
          <w:shd w:val="clear" w:color="auto" w:fill="FFFFFF"/>
          <w:lang w:val="id-ID"/>
        </w:rPr>
        <w:t>Environmental Science &amp; Policy</w:t>
      </w:r>
      <w:r w:rsidRPr="000B2A19">
        <w:rPr>
          <w:rFonts w:ascii="Adobe Garamond Pro" w:hAnsi="Adobe Garamond Pro" w:cs="Times New Roman"/>
          <w:shd w:val="clear" w:color="auto" w:fill="FFFFFF"/>
          <w:lang w:val="id-ID"/>
        </w:rPr>
        <w:t>, 152, 103–112.</w:t>
      </w:r>
    </w:p>
    <w:p w14:paraId="1C54E815"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Hukum, D. T. (2025). </w:t>
      </w:r>
      <w:r w:rsidRPr="000B2A19">
        <w:rPr>
          <w:rFonts w:ascii="Adobe Garamond Pro" w:hAnsi="Adobe Garamond Pro" w:cs="Times New Roman"/>
          <w:i/>
          <w:iCs/>
        </w:rPr>
        <w:t>Pengelolaan Limbah Tailing PT . Freeport Indonesia</w:t>
      </w:r>
      <w:r w:rsidRPr="000B2A19">
        <w:rPr>
          <w:rFonts w:ascii="Times New Roman" w:hAnsi="Times New Roman" w:cs="Times New Roman"/>
          <w:i/>
          <w:iCs/>
        </w:rPr>
        <w:t> </w:t>
      </w:r>
      <w:r w:rsidRPr="000B2A19">
        <w:rPr>
          <w:rFonts w:ascii="Adobe Garamond Pro" w:hAnsi="Adobe Garamond Pro" w:cs="Times New Roman"/>
          <w:i/>
          <w:iCs/>
        </w:rPr>
        <w:t>: Dampak Lingkungan</w:t>
      </w:r>
      <w:r w:rsidRPr="000B2A19">
        <w:rPr>
          <w:rFonts w:ascii="Adobe Garamond Pro" w:hAnsi="Adobe Garamond Pro" w:cs="Times New Roman"/>
        </w:rPr>
        <w:t xml:space="preserve">. </w:t>
      </w:r>
      <w:r w:rsidRPr="000B2A19">
        <w:rPr>
          <w:rFonts w:ascii="Adobe Garamond Pro" w:hAnsi="Adobe Garamond Pro" w:cs="Times New Roman"/>
          <w:i/>
          <w:iCs/>
        </w:rPr>
        <w:t>1</w:t>
      </w:r>
      <w:r w:rsidRPr="000B2A19">
        <w:rPr>
          <w:rFonts w:ascii="Adobe Garamond Pro" w:hAnsi="Adobe Garamond Pro" w:cs="Times New Roman"/>
        </w:rPr>
        <w:t>(3), 167–171.</w:t>
      </w:r>
    </w:p>
    <w:p w14:paraId="00581F63"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Lapian, F. E. P. (2023). </w:t>
      </w:r>
      <w:r w:rsidRPr="000B2A19">
        <w:rPr>
          <w:rFonts w:ascii="Adobe Garamond Pro" w:hAnsi="Adobe Garamond Pro" w:cs="Times New Roman"/>
          <w:i/>
          <w:iCs/>
        </w:rPr>
        <w:t>Analisis Pengaruh Penambahan Limbah Tailing PT . Freeport sebagai Bahan Stabilisasi Tanah pada Lapis Pondasi Jalan</w:t>
      </w:r>
      <w:r w:rsidRPr="000B2A19">
        <w:rPr>
          <w:rFonts w:ascii="Adobe Garamond Pro" w:hAnsi="Adobe Garamond Pro" w:cs="Times New Roman"/>
        </w:rPr>
        <w:t xml:space="preserve">. </w:t>
      </w:r>
      <w:r w:rsidRPr="000B2A19">
        <w:rPr>
          <w:rFonts w:ascii="Adobe Garamond Pro" w:hAnsi="Adobe Garamond Pro" w:cs="Times New Roman"/>
          <w:i/>
          <w:iCs/>
        </w:rPr>
        <w:t>30</w:t>
      </w:r>
      <w:r w:rsidRPr="000B2A19">
        <w:rPr>
          <w:rFonts w:ascii="Adobe Garamond Pro" w:hAnsi="Adobe Garamond Pro" w:cs="Times New Roman"/>
        </w:rPr>
        <w:t>(3), 449–456. https://doi.org/10.5614/jts.2023.30.3.13</w:t>
      </w:r>
    </w:p>
    <w:p w14:paraId="4FB8BD74"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Liang, X., Fan Liang, X., Fan, S., Lucy, J., Chen, J., Coleman, J., Li, Y., Qu, Z., Li,    H., &amp; Yang, Z. (2025). Quantitative sustainability assessment of freeports</w:t>
      </w:r>
      <w:r w:rsidRPr="000B2A19">
        <w:rPr>
          <w:rFonts w:ascii="Times New Roman" w:hAnsi="Times New Roman" w:cs="Times New Roman"/>
        </w:rPr>
        <w:t> </w:t>
      </w:r>
      <w:r w:rsidRPr="000B2A19">
        <w:rPr>
          <w:rFonts w:ascii="Adobe Garamond Pro" w:hAnsi="Adobe Garamond Pro" w:cs="Times New Roman"/>
        </w:rPr>
        <w:t xml:space="preserve">: Hybrid model evidence from the UK. </w:t>
      </w:r>
      <w:r w:rsidRPr="000B2A19">
        <w:rPr>
          <w:rFonts w:ascii="Adobe Garamond Pro" w:hAnsi="Adobe Garamond Pro" w:cs="Times New Roman"/>
          <w:i/>
          <w:iCs/>
        </w:rPr>
        <w:t>Journal of Cleaner Production</w:t>
      </w:r>
      <w:r w:rsidRPr="000B2A19">
        <w:rPr>
          <w:rFonts w:ascii="Adobe Garamond Pro" w:hAnsi="Adobe Garamond Pro" w:cs="Times New Roman"/>
        </w:rPr>
        <w:t xml:space="preserve">, </w:t>
      </w:r>
      <w:r w:rsidRPr="000B2A19">
        <w:rPr>
          <w:rFonts w:ascii="Adobe Garamond Pro" w:hAnsi="Adobe Garamond Pro" w:cs="Times New Roman"/>
          <w:i/>
          <w:iCs/>
        </w:rPr>
        <w:t>487</w:t>
      </w:r>
      <w:r w:rsidRPr="000B2A19">
        <w:rPr>
          <w:rFonts w:ascii="Adobe Garamond Pro" w:hAnsi="Adobe Garamond Pro" w:cs="Times New Roman"/>
        </w:rPr>
        <w:t>(December 2024), 144521. https://doi.org/10.1016/j.jclepro.2024.144521</w:t>
      </w:r>
    </w:p>
    <w:p w14:paraId="7328D2D9" w14:textId="42971AA8"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Muhammad, S., &amp; Arifin, S. (2024). </w:t>
      </w:r>
      <w:r w:rsidRPr="000B2A19">
        <w:rPr>
          <w:rFonts w:ascii="Adobe Garamond Pro" w:hAnsi="Adobe Garamond Pro" w:cs="Times New Roman"/>
          <w:i/>
          <w:iCs/>
        </w:rPr>
        <w:t>On the brink of social resistance</w:t>
      </w:r>
      <w:r w:rsidRPr="000B2A19">
        <w:rPr>
          <w:rFonts w:ascii="Times New Roman" w:hAnsi="Times New Roman" w:cs="Times New Roman"/>
          <w:i/>
          <w:iCs/>
        </w:rPr>
        <w:t> </w:t>
      </w:r>
      <w:r w:rsidRPr="000B2A19">
        <w:rPr>
          <w:rFonts w:ascii="Adobe Garamond Pro" w:hAnsi="Adobe Garamond Pro" w:cs="Times New Roman"/>
          <w:i/>
          <w:iCs/>
        </w:rPr>
        <w:t>: local community perceptions of mining company operating permits in East Luwu , Indonesia</w:t>
      </w:r>
      <w:r w:rsidRPr="000B2A19">
        <w:rPr>
          <w:rFonts w:ascii="Adobe Garamond Pro" w:hAnsi="Adobe Garamond Pro" w:cs="Times New Roman"/>
        </w:rPr>
        <w:t xml:space="preserve">. </w:t>
      </w:r>
      <w:r w:rsidRPr="000B2A19">
        <w:rPr>
          <w:rFonts w:ascii="Adobe Garamond Pro" w:hAnsi="Adobe Garamond Pro" w:cs="Times New Roman"/>
          <w:i/>
          <w:iCs/>
        </w:rPr>
        <w:t>October</w:t>
      </w:r>
      <w:r w:rsidRPr="000B2A19">
        <w:rPr>
          <w:rFonts w:ascii="Adobe Garamond Pro" w:hAnsi="Adobe Garamond Pro" w:cs="Times New Roman"/>
        </w:rPr>
        <w:t>. https://doi.org/10.3389/fsoc.2024.1373736</w:t>
      </w:r>
    </w:p>
    <w:p w14:paraId="0E8CA96C"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Tella, A. A. (2024). </w:t>
      </w:r>
      <w:r w:rsidRPr="000B2A19">
        <w:rPr>
          <w:rFonts w:ascii="Adobe Garamond Pro" w:hAnsi="Adobe Garamond Pro" w:cs="Times New Roman"/>
          <w:i/>
          <w:iCs/>
        </w:rPr>
        <w:t>The Environmental Impact of Mining Activities in the Local Community</w:t>
      </w:r>
      <w:r w:rsidRPr="000B2A19">
        <w:rPr>
          <w:rFonts w:ascii="Times New Roman" w:hAnsi="Times New Roman" w:cs="Times New Roman"/>
          <w:i/>
          <w:iCs/>
        </w:rPr>
        <w:t> </w:t>
      </w:r>
      <w:r w:rsidRPr="000B2A19">
        <w:rPr>
          <w:rFonts w:ascii="Adobe Garamond Pro" w:hAnsi="Adobe Garamond Pro" w:cs="Times New Roman"/>
          <w:i/>
          <w:iCs/>
        </w:rPr>
        <w:t>: A Structural Equation Modelling Approach</w:t>
      </w:r>
      <w:r w:rsidRPr="000B2A19">
        <w:rPr>
          <w:rFonts w:ascii="Adobe Garamond Pro" w:hAnsi="Adobe Garamond Pro" w:cs="Times New Roman"/>
        </w:rPr>
        <w:t xml:space="preserve">. </w:t>
      </w:r>
      <w:r w:rsidRPr="000B2A19">
        <w:rPr>
          <w:rFonts w:ascii="Adobe Garamond Pro" w:hAnsi="Adobe Garamond Pro" w:cs="Times New Roman"/>
          <w:i/>
          <w:iCs/>
        </w:rPr>
        <w:t>11</w:t>
      </w:r>
      <w:r w:rsidRPr="000B2A19">
        <w:rPr>
          <w:rFonts w:ascii="Adobe Garamond Pro" w:hAnsi="Adobe Garamond Pro" w:cs="Times New Roman"/>
        </w:rPr>
        <w:t>(1), 44–53. https://doi.org/10.5296/ijsw.v11i1.21747</w:t>
      </w:r>
    </w:p>
    <w:p w14:paraId="6A80606A" w14:textId="77777777" w:rsidR="004564C3" w:rsidRPr="000B2A19" w:rsidRDefault="004564C3" w:rsidP="000B2A19">
      <w:pPr>
        <w:pBdr>
          <w:top w:val="none" w:sz="0" w:space="0" w:color="E4E4E7"/>
          <w:left w:val="none" w:sz="0" w:space="0" w:color="E4E4E7"/>
          <w:bottom w:val="none" w:sz="0" w:space="0" w:color="E4E4E7"/>
          <w:right w:val="none" w:sz="0" w:space="0" w:color="E4E4E7"/>
          <w:between w:val="none" w:sz="0" w:space="0" w:color="E4E4E7"/>
        </w:pBdr>
        <w:shd w:val="clear" w:color="auto" w:fill="FFFFFF"/>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Duo, L.H., Hu, Z.Q., Yang, K., et al. (2022). Sediment settlement rate and consolidation time of filling reclamation in coal mining subsidence land. </w:t>
      </w:r>
      <w:r w:rsidRPr="000B2A19">
        <w:rPr>
          <w:rStyle w:val="Emphasis"/>
          <w:rFonts w:ascii="Adobe Garamond Pro" w:hAnsi="Adobe Garamond Pro" w:cs="Times New Roman"/>
        </w:rPr>
        <w:t>International Journal of Coal Science &amp; Technology</w:t>
      </w:r>
      <w:r w:rsidRPr="000B2A19">
        <w:rPr>
          <w:rFonts w:ascii="Adobe Garamond Pro" w:hAnsi="Adobe Garamond Pro" w:cs="Times New Roman"/>
        </w:rPr>
        <w:t xml:space="preserve">, </w:t>
      </w:r>
      <w:r w:rsidRPr="000B2A19">
        <w:rPr>
          <w:rStyle w:val="Emphasis"/>
          <w:rFonts w:ascii="Adobe Garamond Pro" w:hAnsi="Adobe Garamond Pro" w:cs="Times New Roman"/>
        </w:rPr>
        <w:t>9</w:t>
      </w:r>
      <w:r w:rsidRPr="000B2A19">
        <w:rPr>
          <w:rFonts w:ascii="Adobe Garamond Pro" w:hAnsi="Adobe Garamond Pro" w:cs="Times New Roman"/>
        </w:rPr>
        <w:t>(3), 15.</w:t>
      </w:r>
    </w:p>
    <w:p w14:paraId="59FFA6E9" w14:textId="77777777" w:rsidR="004564C3" w:rsidRPr="000B2A19" w:rsidRDefault="004564C3" w:rsidP="000B2A19">
      <w:pPr>
        <w:pBdr>
          <w:top w:val="none" w:sz="0" w:space="0" w:color="E4E4E7"/>
          <w:left w:val="none" w:sz="0" w:space="0" w:color="E4E4E7"/>
          <w:bottom w:val="none" w:sz="0" w:space="0" w:color="E4E4E7"/>
          <w:right w:val="none" w:sz="0" w:space="0" w:color="E4E4E7"/>
          <w:between w:val="none" w:sz="0" w:space="0" w:color="E4E4E7"/>
        </w:pBdr>
        <w:shd w:val="clear" w:color="auto" w:fill="FFFFFF"/>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Wang, Z.M., Zhou, W., Jiskani, I.M., Luo, H.T., Ao, Z.C., &amp; Mvula, E.M. (2022). Annual dust pollution characteristics and its prevention and control for environmental protection in surface mines. </w:t>
      </w:r>
      <w:r w:rsidRPr="000B2A19">
        <w:rPr>
          <w:rStyle w:val="Emphasis"/>
          <w:rFonts w:ascii="Adobe Garamond Pro" w:hAnsi="Adobe Garamond Pro" w:cs="Times New Roman"/>
        </w:rPr>
        <w:t>Science of the Total Environment</w:t>
      </w:r>
      <w:r w:rsidRPr="000B2A19">
        <w:rPr>
          <w:rFonts w:ascii="Adobe Garamond Pro" w:hAnsi="Adobe Garamond Pro" w:cs="Times New Roman"/>
        </w:rPr>
        <w:t xml:space="preserve">, </w:t>
      </w:r>
      <w:r w:rsidRPr="000B2A19">
        <w:rPr>
          <w:rStyle w:val="Emphasis"/>
          <w:rFonts w:ascii="Adobe Garamond Pro" w:hAnsi="Adobe Garamond Pro" w:cs="Times New Roman"/>
        </w:rPr>
        <w:t>852</w:t>
      </w:r>
      <w:r w:rsidRPr="000B2A19">
        <w:rPr>
          <w:rFonts w:ascii="Adobe Garamond Pro" w:hAnsi="Adobe Garamond Pro" w:cs="Times New Roman"/>
        </w:rPr>
        <w:t>, 153949.</w:t>
      </w:r>
    </w:p>
    <w:p w14:paraId="7C35CE89" w14:textId="77777777" w:rsidR="004564C3" w:rsidRPr="000B2A19" w:rsidRDefault="004564C3" w:rsidP="000B2A19">
      <w:pPr>
        <w:pBdr>
          <w:top w:val="none" w:sz="0" w:space="0" w:color="E4E4E7"/>
          <w:left w:val="none" w:sz="0" w:space="0" w:color="E4E4E7"/>
          <w:bottom w:val="none" w:sz="0" w:space="0" w:color="E4E4E7"/>
          <w:right w:val="none" w:sz="0" w:space="0" w:color="E4E4E7"/>
          <w:between w:val="none" w:sz="0" w:space="0" w:color="E4E4E7"/>
        </w:pBdr>
        <w:shd w:val="clear" w:color="auto" w:fill="FFFFFF"/>
        <w:spacing w:before="120" w:after="240" w:line="360" w:lineRule="auto"/>
        <w:ind w:left="720" w:hanging="720"/>
        <w:jc w:val="both"/>
        <w:rPr>
          <w:rFonts w:ascii="Adobe Garamond Pro" w:eastAsia="SimSun" w:hAnsi="Adobe Garamond Pro" w:cs="Times New Roman"/>
        </w:rPr>
      </w:pPr>
      <w:r w:rsidRPr="000B2A19">
        <w:rPr>
          <w:rFonts w:ascii="Adobe Garamond Pro" w:hAnsi="Adobe Garamond Pro" w:cs="Times New Roman"/>
        </w:rPr>
        <w:t xml:space="preserve">Li, Y.N., Duo, L.H., Zhang, M., et al. (2022). Habitat quality assessment of mining cities based on InVEST model—a case study of Yanshan County, Jiangxi Province. </w:t>
      </w:r>
      <w:r w:rsidRPr="000B2A19">
        <w:rPr>
          <w:rStyle w:val="Emphasis"/>
          <w:rFonts w:ascii="Adobe Garamond Pro" w:hAnsi="Adobe Garamond Pro" w:cs="Times New Roman"/>
        </w:rPr>
        <w:t>International Journal of Coal Science &amp; Technology</w:t>
      </w:r>
      <w:r w:rsidRPr="000B2A19">
        <w:rPr>
          <w:rFonts w:ascii="Adobe Garamond Pro" w:hAnsi="Adobe Garamond Pro" w:cs="Times New Roman"/>
        </w:rPr>
        <w:t xml:space="preserve">, </w:t>
      </w:r>
      <w:r w:rsidRPr="000B2A19">
        <w:rPr>
          <w:rStyle w:val="Emphasis"/>
          <w:rFonts w:ascii="Adobe Garamond Pro" w:hAnsi="Adobe Garamond Pro" w:cs="Times New Roman"/>
        </w:rPr>
        <w:t>9</w:t>
      </w:r>
      <w:r w:rsidRPr="000B2A19">
        <w:rPr>
          <w:rFonts w:ascii="Adobe Garamond Pro" w:hAnsi="Adobe Garamond Pro" w:cs="Times New Roman"/>
        </w:rPr>
        <w:t>(1), 28.</w:t>
      </w:r>
    </w:p>
    <w:p w14:paraId="374165B1" w14:textId="77777777" w:rsidR="004564C3" w:rsidRPr="000B2A19" w:rsidRDefault="004564C3" w:rsidP="000B2A19">
      <w:pPr>
        <w:tabs>
          <w:tab w:val="left" w:pos="720"/>
        </w:tabs>
        <w:spacing w:beforeAutospacing="1" w:afterAutospacing="1" w:line="360" w:lineRule="auto"/>
        <w:ind w:left="720" w:hanging="720"/>
        <w:jc w:val="both"/>
        <w:rPr>
          <w:rFonts w:ascii="Adobe Garamond Pro" w:hAnsi="Adobe Garamond Pro" w:cs="Times New Roman"/>
        </w:rPr>
      </w:pPr>
      <w:r w:rsidRPr="000B2A19">
        <w:rPr>
          <w:rFonts w:ascii="Adobe Garamond Pro" w:hAnsi="Adobe Garamond Pro" w:cs="Times New Roman"/>
        </w:rPr>
        <w:t>He, T.T., Zhang, M.X., Guo, A.D., Zhai, G., Wu, C.F., &amp; Xiao, W. (2023</w:t>
      </w:r>
      <w:r w:rsidRPr="000B2A19">
        <w:rPr>
          <w:rFonts w:ascii="Adobe Garamond Pro" w:hAnsi="Adobe Garamond Pro" w:cs="Times New Roman"/>
          <w:i/>
          <w:iCs/>
        </w:rPr>
        <w:t>). A novel index combining temperature and vegetation conditions for monitoring surface mining disturbance using Landsat time series.</w:t>
      </w:r>
      <w:r w:rsidRPr="000B2A19">
        <w:rPr>
          <w:rFonts w:ascii="Adobe Garamond Pro" w:hAnsi="Adobe Garamond Pro" w:cs="Times New Roman"/>
        </w:rPr>
        <w:t xml:space="preserve"> </w:t>
      </w:r>
      <w:r w:rsidRPr="000B2A19">
        <w:rPr>
          <w:rStyle w:val="Emphasis"/>
          <w:rFonts w:ascii="Adobe Garamond Pro" w:hAnsi="Adobe Garamond Pro" w:cs="Times New Roman"/>
        </w:rPr>
        <w:t>CATENA</w:t>
      </w:r>
      <w:r w:rsidRPr="000B2A19">
        <w:rPr>
          <w:rFonts w:ascii="Adobe Garamond Pro" w:hAnsi="Adobe Garamond Pro" w:cs="Times New Roman"/>
        </w:rPr>
        <w:t xml:space="preserve">, </w:t>
      </w:r>
      <w:r w:rsidRPr="000B2A19">
        <w:rPr>
          <w:rStyle w:val="Emphasis"/>
          <w:rFonts w:ascii="Adobe Garamond Pro" w:hAnsi="Adobe Garamond Pro" w:cs="Times New Roman"/>
        </w:rPr>
        <w:t>229</w:t>
      </w:r>
      <w:r w:rsidRPr="000B2A19">
        <w:rPr>
          <w:rFonts w:ascii="Adobe Garamond Pro" w:hAnsi="Adobe Garamond Pro" w:cs="Times New Roman"/>
        </w:rPr>
        <w:t>, 107235.</w:t>
      </w:r>
    </w:p>
    <w:p w14:paraId="62E6FDF5" w14:textId="77777777" w:rsidR="004564C3" w:rsidRPr="000B2A19" w:rsidRDefault="004564C3" w:rsidP="000B2A19">
      <w:pPr>
        <w:tabs>
          <w:tab w:val="left" w:pos="720"/>
        </w:tabs>
        <w:spacing w:beforeAutospacing="1" w:afterAutospacing="1"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Trechera, P., Moreno, T., Córdoba, P., Moreno, N., Zhuang, X.G., Li, B.Q., Li, J., Shangguan, Y.F., Dominguez, A.O., Kelly, F., &amp; Querol, X. (2021). </w:t>
      </w:r>
      <w:r w:rsidRPr="000B2A19">
        <w:rPr>
          <w:rFonts w:ascii="Adobe Garamond Pro" w:hAnsi="Adobe Garamond Pro" w:cs="Times New Roman"/>
          <w:i/>
          <w:iCs/>
        </w:rPr>
        <w:t>Comprehensive evaluation of potential coal mine dust emissions in an open-pit coal mine in Northwest China</w:t>
      </w:r>
      <w:r w:rsidRPr="000B2A19">
        <w:rPr>
          <w:rFonts w:ascii="Adobe Garamond Pro" w:hAnsi="Adobe Garamond Pro" w:cs="Times New Roman"/>
        </w:rPr>
        <w:t xml:space="preserve">. </w:t>
      </w:r>
      <w:r w:rsidRPr="000B2A19">
        <w:rPr>
          <w:rStyle w:val="Emphasis"/>
          <w:rFonts w:ascii="Adobe Garamond Pro" w:hAnsi="Adobe Garamond Pro" w:cs="Times New Roman"/>
        </w:rPr>
        <w:t>International Journal of Coal Geology</w:t>
      </w:r>
      <w:r w:rsidRPr="000B2A19">
        <w:rPr>
          <w:rFonts w:ascii="Adobe Garamond Pro" w:hAnsi="Adobe Garamond Pro" w:cs="Times New Roman"/>
        </w:rPr>
        <w:t xml:space="preserve">, </w:t>
      </w:r>
      <w:r w:rsidRPr="000B2A19">
        <w:rPr>
          <w:rStyle w:val="Emphasis"/>
          <w:rFonts w:ascii="Adobe Garamond Pro" w:hAnsi="Adobe Garamond Pro" w:cs="Times New Roman"/>
        </w:rPr>
        <w:t>235</w:t>
      </w:r>
      <w:r w:rsidRPr="000B2A19">
        <w:rPr>
          <w:rFonts w:ascii="Adobe Garamond Pro" w:hAnsi="Adobe Garamond Pro" w:cs="Times New Roman"/>
        </w:rPr>
        <w:t>, 103677.</w:t>
      </w:r>
    </w:p>
    <w:p w14:paraId="3D279DAE" w14:textId="77777777" w:rsidR="004564C3" w:rsidRPr="000B2A19" w:rsidRDefault="004564C3" w:rsidP="000B2A19">
      <w:pPr>
        <w:tabs>
          <w:tab w:val="left" w:pos="720"/>
        </w:tabs>
        <w:spacing w:beforeAutospacing="1" w:afterAutospacing="1" w:line="360" w:lineRule="auto"/>
        <w:ind w:left="720" w:hanging="720"/>
        <w:jc w:val="both"/>
        <w:rPr>
          <w:rFonts w:ascii="Adobe Garamond Pro" w:hAnsi="Adobe Garamond Pro" w:cs="Times New Roman"/>
        </w:rPr>
      </w:pPr>
      <w:r w:rsidRPr="000B2A19">
        <w:rPr>
          <w:rFonts w:ascii="Adobe Garamond Pro" w:hAnsi="Adobe Garamond Pro" w:cs="Times New Roman"/>
        </w:rPr>
        <w:lastRenderedPageBreak/>
        <w:t xml:space="preserve">Ju, X.F., He, J.L., Zhang, Q., &amp; Staitiniyazi, A. (2023). </w:t>
      </w:r>
      <w:r w:rsidRPr="000B2A19">
        <w:rPr>
          <w:rFonts w:ascii="Adobe Garamond Pro" w:hAnsi="Adobe Garamond Pro" w:cs="Times New Roman"/>
          <w:i/>
          <w:iCs/>
        </w:rPr>
        <w:t>Evolution pattern and driving mechanism of eco-environmental quality in arid oasis belt—A case study of oasis core area in Kashgar Delta</w:t>
      </w:r>
      <w:r w:rsidRPr="000B2A19">
        <w:rPr>
          <w:rFonts w:ascii="Adobe Garamond Pro" w:hAnsi="Adobe Garamond Pro" w:cs="Times New Roman"/>
        </w:rPr>
        <w:t xml:space="preserve">. </w:t>
      </w:r>
      <w:r w:rsidRPr="000B2A19">
        <w:rPr>
          <w:rStyle w:val="Emphasis"/>
          <w:rFonts w:ascii="Adobe Garamond Pro" w:hAnsi="Adobe Garamond Pro" w:cs="Times New Roman"/>
        </w:rPr>
        <w:t>Ecological Indicators</w:t>
      </w:r>
      <w:r w:rsidRPr="000B2A19">
        <w:rPr>
          <w:rFonts w:ascii="Adobe Garamond Pro" w:hAnsi="Adobe Garamond Pro" w:cs="Times New Roman"/>
        </w:rPr>
        <w:t xml:space="preserve">, </w:t>
      </w:r>
      <w:r w:rsidRPr="000B2A19">
        <w:rPr>
          <w:rStyle w:val="Emphasis"/>
          <w:rFonts w:ascii="Adobe Garamond Pro" w:hAnsi="Adobe Garamond Pro" w:cs="Times New Roman"/>
        </w:rPr>
        <w:t>154</w:t>
      </w:r>
      <w:r w:rsidRPr="000B2A19">
        <w:rPr>
          <w:rFonts w:ascii="Adobe Garamond Pro" w:hAnsi="Adobe Garamond Pro" w:cs="Times New Roman"/>
        </w:rPr>
        <w:t>, 110866</w:t>
      </w:r>
    </w:p>
    <w:p w14:paraId="33D9027D"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Queiroz, L. S. (2024). Distribution and transport of contaminants in soil through. </w:t>
      </w:r>
      <w:r w:rsidRPr="000B2A19">
        <w:rPr>
          <w:rFonts w:ascii="Adobe Garamond Pro" w:hAnsi="Adobe Garamond Pro"/>
          <w:i/>
          <w:iCs/>
          <w:sz w:val="22"/>
          <w:szCs w:val="22"/>
        </w:rPr>
        <w:t>Science of The Total Environment</w:t>
      </w:r>
      <w:r w:rsidRPr="000B2A19">
        <w:rPr>
          <w:rFonts w:ascii="Adobe Garamond Pro" w:hAnsi="Adobe Garamond Pro"/>
          <w:sz w:val="22"/>
          <w:szCs w:val="22"/>
        </w:rPr>
        <w:t xml:space="preserve">. </w:t>
      </w:r>
      <w:hyperlink r:id="rId12" w:tgtFrame="_blank" w:history="1">
        <w:r w:rsidRPr="000B2A19">
          <w:rPr>
            <w:rStyle w:val="Hyperlink"/>
            <w:rFonts w:ascii="Adobe Garamond Pro" w:eastAsiaTheme="majorEastAsia" w:hAnsi="Adobe Garamond Pro"/>
            <w:sz w:val="22"/>
            <w:szCs w:val="22"/>
          </w:rPr>
          <w:t>https://doi.org/10.1016/j.scitotenv.xxxx</w:t>
        </w:r>
      </w:hyperlink>
    </w:p>
    <w:p w14:paraId="27414CEE" w14:textId="77777777" w:rsidR="004564C3" w:rsidRPr="000B2A19" w:rsidRDefault="004564C3" w:rsidP="000B2A19">
      <w:pPr>
        <w:pStyle w:val="NormalWeb"/>
        <w:spacing w:line="360" w:lineRule="auto"/>
        <w:ind w:left="720" w:hanging="720"/>
        <w:jc w:val="both"/>
        <w:rPr>
          <w:rFonts w:ascii="Adobe Garamond Pro" w:hAnsi="Adobe Garamond Pro"/>
          <w:i/>
          <w:iCs/>
          <w:sz w:val="22"/>
          <w:szCs w:val="22"/>
        </w:rPr>
      </w:pPr>
      <w:r w:rsidRPr="000B2A19">
        <w:rPr>
          <w:rFonts w:ascii="Adobe Garamond Pro" w:hAnsi="Adobe Garamond Pro"/>
          <w:sz w:val="22"/>
          <w:szCs w:val="22"/>
        </w:rPr>
        <w:t xml:space="preserve">Haque, N., et al. (2025.). Life cycle assessment of copper concentrate production and smelting. </w:t>
      </w:r>
      <w:r w:rsidRPr="000B2A19">
        <w:rPr>
          <w:rFonts w:ascii="Adobe Garamond Pro" w:hAnsi="Adobe Garamond Pro"/>
          <w:i/>
          <w:iCs/>
          <w:sz w:val="22"/>
          <w:szCs w:val="22"/>
        </w:rPr>
        <w:t>Minerals Engineering</w:t>
      </w:r>
    </w:p>
    <w:p w14:paraId="34467895" w14:textId="65D73383"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i/>
          <w:iCs/>
        </w:rPr>
      </w:pPr>
      <w:r w:rsidRPr="000B2A19">
        <w:rPr>
          <w:rFonts w:ascii="Adobe Garamond Pro" w:hAnsi="Adobe Garamond Pro"/>
        </w:rPr>
        <w:t xml:space="preserve">Liu, W., et al. (2024). Comprehensive assessment of environmental behavior of mine tailings. </w:t>
      </w:r>
      <w:r w:rsidRPr="000B2A19">
        <w:rPr>
          <w:rFonts w:ascii="Adobe Garamond Pro" w:hAnsi="Adobe Garamond Pro"/>
          <w:i/>
          <w:iCs/>
        </w:rPr>
        <w:t>Journal of Environmental Managemen</w:t>
      </w:r>
    </w:p>
    <w:p w14:paraId="05916C69" w14:textId="77777777" w:rsidR="004564C3" w:rsidRPr="000B2A19" w:rsidRDefault="004564C3" w:rsidP="000B2A19">
      <w:pPr>
        <w:pStyle w:val="NormalWeb"/>
        <w:spacing w:line="360" w:lineRule="auto"/>
        <w:ind w:left="720" w:hanging="720"/>
        <w:jc w:val="both"/>
        <w:rPr>
          <w:rFonts w:ascii="Adobe Garamond Pro" w:hAnsi="Adobe Garamond Pro"/>
          <w:i/>
          <w:iCs/>
          <w:sz w:val="22"/>
          <w:szCs w:val="22"/>
        </w:rPr>
      </w:pPr>
      <w:r w:rsidRPr="000B2A19">
        <w:rPr>
          <w:rFonts w:ascii="Adobe Garamond Pro" w:hAnsi="Adobe Garamond Pro"/>
          <w:sz w:val="22"/>
          <w:szCs w:val="22"/>
        </w:rPr>
        <w:t xml:space="preserve">Schueler, J. A. (2023). Patterns of infringement, risk and impact driven by coal. </w:t>
      </w:r>
      <w:r w:rsidRPr="000B2A19">
        <w:rPr>
          <w:rFonts w:ascii="Adobe Garamond Pro" w:hAnsi="Adobe Garamond Pro"/>
          <w:i/>
          <w:iCs/>
          <w:sz w:val="22"/>
          <w:szCs w:val="22"/>
        </w:rPr>
        <w:t>Environmental Science &amp; Policy</w:t>
      </w:r>
    </w:p>
    <w:p w14:paraId="36F8AB8C" w14:textId="77777777" w:rsidR="004564C3" w:rsidRPr="000B2A19" w:rsidRDefault="004564C3" w:rsidP="000B2A19">
      <w:pPr>
        <w:pStyle w:val="NormalWeb"/>
        <w:spacing w:line="360" w:lineRule="auto"/>
        <w:ind w:left="720" w:hanging="720"/>
        <w:jc w:val="both"/>
        <w:rPr>
          <w:rFonts w:ascii="Adobe Garamond Pro" w:hAnsi="Adobe Garamond Pro"/>
          <w:i/>
          <w:iCs/>
          <w:sz w:val="22"/>
          <w:szCs w:val="22"/>
        </w:rPr>
      </w:pPr>
      <w:r w:rsidRPr="000B2A19">
        <w:rPr>
          <w:rFonts w:ascii="Adobe Garamond Pro" w:hAnsi="Adobe Garamond Pro"/>
          <w:sz w:val="22"/>
          <w:szCs w:val="22"/>
        </w:rPr>
        <w:t xml:space="preserve">Balanay, R. M., dkk. (2014). Analyzing the socio-economic impacts of mining with (PSM). </w:t>
      </w:r>
      <w:r w:rsidRPr="000B2A19">
        <w:rPr>
          <w:rFonts w:ascii="Adobe Garamond Pro" w:hAnsi="Adobe Garamond Pro"/>
          <w:i/>
          <w:iCs/>
          <w:sz w:val="22"/>
          <w:szCs w:val="22"/>
        </w:rPr>
        <w:t>Development and Country Studies</w:t>
      </w:r>
    </w:p>
    <w:p w14:paraId="4E2245D3"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Carrillo-M., P., dkk. (2023). Local socioeconomic impacts of large-scale mining: Case of Fruta del Norte. </w:t>
      </w:r>
      <w:r w:rsidRPr="000B2A19">
        <w:rPr>
          <w:rFonts w:ascii="Adobe Garamond Pro" w:hAnsi="Adobe Garamond Pro"/>
          <w:i/>
          <w:iCs/>
          <w:sz w:val="22"/>
          <w:szCs w:val="22"/>
        </w:rPr>
        <w:t>Resources Policy</w:t>
      </w:r>
      <w:r w:rsidRPr="000B2A19">
        <w:rPr>
          <w:rFonts w:ascii="Adobe Garamond Pro" w:hAnsi="Adobe Garamond Pro"/>
          <w:sz w:val="22"/>
          <w:szCs w:val="22"/>
        </w:rPr>
        <w:t xml:space="preserve">, 85. </w:t>
      </w:r>
      <w:hyperlink r:id="rId13" w:tgtFrame="_blank" w:history="1">
        <w:r w:rsidRPr="000B2A19">
          <w:rPr>
            <w:rStyle w:val="Hyperlink"/>
            <w:rFonts w:ascii="Adobe Garamond Pro" w:eastAsiaTheme="majorEastAsia" w:hAnsi="Adobe Garamond Pro"/>
            <w:sz w:val="22"/>
            <w:szCs w:val="22"/>
          </w:rPr>
          <w:t>https://doi.org/10.1016/j.resourpol.2023.103756</w:t>
        </w:r>
      </w:hyperlink>
    </w:p>
    <w:p w14:paraId="13DD7D82"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Irawan, I. (2016). Legal analysis of coal mining in efforts to maintain sustainability. </w:t>
      </w:r>
      <w:r w:rsidRPr="000B2A19">
        <w:rPr>
          <w:rFonts w:ascii="Adobe Garamond Pro" w:hAnsi="Adobe Garamond Pro"/>
          <w:i/>
          <w:iCs/>
          <w:sz w:val="22"/>
          <w:szCs w:val="22"/>
        </w:rPr>
        <w:t>Humaniora</w:t>
      </w:r>
      <w:r w:rsidRPr="000B2A19">
        <w:rPr>
          <w:rFonts w:ascii="Adobe Garamond Pro" w:hAnsi="Adobe Garamond Pro"/>
          <w:sz w:val="22"/>
          <w:szCs w:val="22"/>
        </w:rPr>
        <w:t xml:space="preserve">, 7(1). </w:t>
      </w:r>
      <w:hyperlink r:id="rId14" w:tgtFrame="_blank" w:history="1">
        <w:r w:rsidRPr="000B2A19">
          <w:rPr>
            <w:rStyle w:val="Hyperlink"/>
            <w:rFonts w:ascii="Adobe Garamond Pro" w:eastAsiaTheme="majorEastAsia" w:hAnsi="Adobe Garamond Pro"/>
            <w:sz w:val="22"/>
            <w:szCs w:val="22"/>
          </w:rPr>
          <w:t>https://doi.org/10.21512/humaniora.v7i1.3414</w:t>
        </w:r>
      </w:hyperlink>
    </w:p>
    <w:p w14:paraId="33248D23"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Kafrawi, R. M. (2019). Perusakan lingkungan sebagai tindak pidana terorisme. </w:t>
      </w:r>
      <w:r w:rsidRPr="000B2A19">
        <w:rPr>
          <w:rFonts w:ascii="Adobe Garamond Pro" w:hAnsi="Adobe Garamond Pro"/>
          <w:i/>
          <w:iCs/>
          <w:sz w:val="22"/>
          <w:szCs w:val="22"/>
        </w:rPr>
        <w:t>Majalah Magister Hukum Unair</w:t>
      </w:r>
      <w:r w:rsidRPr="000B2A19">
        <w:rPr>
          <w:rFonts w:ascii="Adobe Garamond Pro" w:hAnsi="Adobe Garamond Pro"/>
          <w:sz w:val="22"/>
          <w:szCs w:val="22"/>
        </w:rPr>
        <w:t xml:space="preserve">, 1(1). </w:t>
      </w:r>
      <w:hyperlink r:id="rId15" w:tgtFrame="_blank" w:history="1">
        <w:r w:rsidRPr="000B2A19">
          <w:rPr>
            <w:rStyle w:val="Hyperlink"/>
            <w:rFonts w:ascii="Adobe Garamond Pro" w:eastAsiaTheme="majorEastAsia" w:hAnsi="Adobe Garamond Pro"/>
            <w:sz w:val="22"/>
            <w:szCs w:val="22"/>
          </w:rPr>
          <w:t>https://doi.org/10.31103/mms.v1i1.157</w:t>
        </w:r>
      </w:hyperlink>
    </w:p>
    <w:p w14:paraId="1C47584D" w14:textId="77777777" w:rsidR="004564C3" w:rsidRPr="000B2A19" w:rsidRDefault="004564C3" w:rsidP="000B2A19">
      <w:pPr>
        <w:pStyle w:val="NormalWeb"/>
        <w:spacing w:line="360" w:lineRule="auto"/>
        <w:ind w:left="720" w:hanging="720"/>
        <w:jc w:val="both"/>
        <w:rPr>
          <w:rFonts w:ascii="Adobe Garamond Pro" w:hAnsi="Adobe Garamond Pro"/>
          <w:i/>
          <w:iCs/>
          <w:sz w:val="22"/>
          <w:szCs w:val="22"/>
        </w:rPr>
      </w:pPr>
      <w:r w:rsidRPr="000B2A19">
        <w:rPr>
          <w:rFonts w:ascii="Adobe Garamond Pro" w:hAnsi="Adobe Garamond Pro"/>
          <w:sz w:val="22"/>
          <w:szCs w:val="22"/>
        </w:rPr>
        <w:t xml:space="preserve">Lily, H., dkk. (2022). Mine tailings management and regulation. </w:t>
      </w:r>
      <w:r w:rsidRPr="000B2A19">
        <w:rPr>
          <w:rFonts w:ascii="Adobe Garamond Pro" w:hAnsi="Adobe Garamond Pro"/>
          <w:i/>
          <w:iCs/>
          <w:sz w:val="22"/>
          <w:szCs w:val="22"/>
        </w:rPr>
        <w:t>Resources Policy</w:t>
      </w:r>
    </w:p>
    <w:p w14:paraId="14BCA587" w14:textId="719B7194" w:rsidR="004564C3" w:rsidRPr="000B2A19" w:rsidRDefault="004564C3" w:rsidP="000B2A19">
      <w:pPr>
        <w:pStyle w:val="NormalWeb"/>
        <w:spacing w:line="360" w:lineRule="auto"/>
        <w:ind w:left="720" w:hanging="720"/>
        <w:jc w:val="both"/>
        <w:rPr>
          <w:rFonts w:ascii="Adobe Garamond Pro" w:hAnsi="Adobe Garamond Pro"/>
          <w:i/>
          <w:iCs/>
          <w:sz w:val="22"/>
          <w:szCs w:val="22"/>
        </w:rPr>
      </w:pPr>
      <w:r w:rsidRPr="000B2A19">
        <w:rPr>
          <w:rFonts w:ascii="Adobe Garamond Pro" w:hAnsi="Adobe Garamond Pro"/>
          <w:sz w:val="22"/>
          <w:szCs w:val="22"/>
        </w:rPr>
        <w:t xml:space="preserve">Nuraida, I. (2012). The practice of corporate social responsibility of PT Newmont Minahasa. </w:t>
      </w:r>
      <w:r w:rsidRPr="000B2A19">
        <w:rPr>
          <w:rFonts w:ascii="Adobe Garamond Pro" w:hAnsi="Adobe Garamond Pro"/>
          <w:i/>
          <w:iCs/>
          <w:sz w:val="22"/>
          <w:szCs w:val="22"/>
        </w:rPr>
        <w:t>Sosiologi Reflektif</w:t>
      </w:r>
      <w:r w:rsidRPr="000B2A19">
        <w:rPr>
          <w:rFonts w:ascii="Adobe Garamond Pro" w:hAnsi="Adobe Garamond Pro"/>
          <w:sz w:val="22"/>
          <w:szCs w:val="22"/>
        </w:rPr>
        <w:t xml:space="preserve">, 7(1). </w:t>
      </w:r>
      <w:hyperlink r:id="rId16" w:tgtFrame="_blank" w:history="1">
        <w:r w:rsidRPr="000B2A19">
          <w:rPr>
            <w:rStyle w:val="Hyperlink"/>
            <w:rFonts w:ascii="Adobe Garamond Pro" w:eastAsiaTheme="majorEastAsia" w:hAnsi="Adobe Garamond Pro"/>
            <w:sz w:val="22"/>
            <w:szCs w:val="22"/>
          </w:rPr>
          <w:t>https://doi.org/10.21107/sml.v7i1.23842</w:t>
        </w:r>
      </w:hyperlink>
    </w:p>
    <w:p w14:paraId="2426F5B3"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  Pattinussa, M. Y. (2024). Identifying the urgency of Indonesia's nickel industry downstream. </w:t>
      </w:r>
      <w:r w:rsidRPr="000B2A19">
        <w:rPr>
          <w:rFonts w:ascii="Adobe Garamond Pro" w:hAnsi="Adobe Garamond Pro"/>
          <w:i/>
          <w:iCs/>
          <w:sz w:val="22"/>
          <w:szCs w:val="22"/>
        </w:rPr>
        <w:t>Verity: Jurnal Ilmiah Hubungan Internasional</w:t>
      </w:r>
      <w:r w:rsidRPr="000B2A19">
        <w:rPr>
          <w:rFonts w:ascii="Adobe Garamond Pro" w:hAnsi="Adobe Garamond Pro"/>
          <w:sz w:val="22"/>
          <w:szCs w:val="22"/>
        </w:rPr>
        <w:t xml:space="preserve">, 15(2). </w:t>
      </w:r>
      <w:hyperlink r:id="rId17" w:tgtFrame="_blank" w:history="1">
        <w:r w:rsidRPr="000B2A19">
          <w:rPr>
            <w:rStyle w:val="Hyperlink"/>
            <w:rFonts w:ascii="Adobe Garamond Pro" w:eastAsiaTheme="majorEastAsia" w:hAnsi="Adobe Garamond Pro"/>
            <w:sz w:val="22"/>
            <w:szCs w:val="22"/>
          </w:rPr>
          <w:t>https://doi.org/10.19166/verity.v15i2.7661</w:t>
        </w:r>
      </w:hyperlink>
    </w:p>
    <w:p w14:paraId="05AC9CB6"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    Rachmawati, D. (2024). Resource conflict in Indonesia in a global security perspective. </w:t>
      </w:r>
      <w:r w:rsidRPr="000B2A19">
        <w:rPr>
          <w:rFonts w:ascii="Adobe Garamond Pro" w:hAnsi="Adobe Garamond Pro"/>
          <w:i/>
          <w:iCs/>
          <w:sz w:val="22"/>
          <w:szCs w:val="22"/>
        </w:rPr>
        <w:t>Formosa Journal of Science and Technology</w:t>
      </w:r>
      <w:r w:rsidRPr="000B2A19">
        <w:rPr>
          <w:rFonts w:ascii="Adobe Garamond Pro" w:hAnsi="Adobe Garamond Pro"/>
          <w:sz w:val="22"/>
          <w:szCs w:val="22"/>
        </w:rPr>
        <w:t xml:space="preserve">, 3(1). </w:t>
      </w:r>
      <w:hyperlink r:id="rId18" w:tgtFrame="_blank" w:history="1">
        <w:r w:rsidRPr="000B2A19">
          <w:rPr>
            <w:rStyle w:val="Hyperlink"/>
            <w:rFonts w:ascii="Adobe Garamond Pro" w:eastAsiaTheme="majorEastAsia" w:hAnsi="Adobe Garamond Pro"/>
            <w:sz w:val="22"/>
            <w:szCs w:val="22"/>
          </w:rPr>
          <w:t>https://doi.org/10.55927/fjst.v3i1.7925</w:t>
        </w:r>
      </w:hyperlink>
    </w:p>
    <w:p w14:paraId="306B3D38"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Bidul, S., dkk. (2024). Analisis yuridis dampak pencemaran lingkungan pertambangan mangan dan nikel di Maluku Utara. </w:t>
      </w:r>
      <w:r w:rsidRPr="000B2A19">
        <w:rPr>
          <w:rFonts w:ascii="Adobe Garamond Pro" w:hAnsi="Adobe Garamond Pro"/>
          <w:i/>
          <w:iCs/>
          <w:sz w:val="22"/>
          <w:szCs w:val="22"/>
        </w:rPr>
        <w:t>Jurnal Sosio-Sains</w:t>
      </w:r>
      <w:r w:rsidRPr="000B2A19">
        <w:rPr>
          <w:rFonts w:ascii="Adobe Garamond Pro" w:hAnsi="Adobe Garamond Pro"/>
          <w:sz w:val="22"/>
          <w:szCs w:val="22"/>
        </w:rPr>
        <w:t xml:space="preserve">, 13(1). </w:t>
      </w:r>
      <w:hyperlink r:id="rId19" w:tgtFrame="_blank" w:history="1">
        <w:r w:rsidRPr="000B2A19">
          <w:rPr>
            <w:rStyle w:val="Hyperlink"/>
            <w:rFonts w:ascii="Adobe Garamond Pro" w:eastAsiaTheme="majorEastAsia" w:hAnsi="Adobe Garamond Pro"/>
            <w:sz w:val="22"/>
            <w:szCs w:val="22"/>
          </w:rPr>
          <w:t>https://doi.org/10.33506/js.v13i1.3102</w:t>
        </w:r>
      </w:hyperlink>
    </w:p>
    <w:p w14:paraId="1D185281"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lastRenderedPageBreak/>
        <w:t xml:space="preserve">Effendi, H., dkk. (2015). Pollution load and quality status of coastal waters Pomalaa nickel mining. </w:t>
      </w:r>
      <w:r w:rsidRPr="000B2A19">
        <w:rPr>
          <w:rFonts w:ascii="Adobe Garamond Pro" w:hAnsi="Adobe Garamond Pro"/>
          <w:i/>
          <w:iCs/>
          <w:sz w:val="22"/>
          <w:szCs w:val="22"/>
        </w:rPr>
        <w:t>Jurnal Pengelolaan Perairan (IPB)</w:t>
      </w:r>
      <w:r w:rsidRPr="000B2A19">
        <w:rPr>
          <w:rFonts w:ascii="Adobe Garamond Pro" w:hAnsi="Adobe Garamond Pro"/>
          <w:sz w:val="22"/>
          <w:szCs w:val="22"/>
        </w:rPr>
        <w:t xml:space="preserve">. </w:t>
      </w:r>
      <w:hyperlink r:id="rId20" w:tgtFrame="_blank" w:history="1">
        <w:r w:rsidRPr="000B2A19">
          <w:rPr>
            <w:rStyle w:val="Hyperlink"/>
            <w:rFonts w:ascii="Adobe Garamond Pro" w:eastAsiaTheme="majorEastAsia" w:hAnsi="Adobe Garamond Pro"/>
            <w:sz w:val="22"/>
            <w:szCs w:val="22"/>
          </w:rPr>
          <w:t>https://journal.ipb.ac.id/</w:t>
        </w:r>
      </w:hyperlink>
    </w:p>
    <w:p w14:paraId="4921EB71"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Higueras, P., dkk. (2012). Low-cost geochemical surveys for environmental studies in developing countries: Optimized use of portable XRF. </w:t>
      </w:r>
      <w:r w:rsidRPr="000B2A19">
        <w:rPr>
          <w:rFonts w:ascii="Adobe Garamond Pro" w:hAnsi="Adobe Garamond Pro"/>
          <w:i/>
          <w:iCs/>
          <w:sz w:val="22"/>
          <w:szCs w:val="22"/>
        </w:rPr>
        <w:t>Journal of Geochemical Exploration</w:t>
      </w:r>
      <w:r w:rsidRPr="000B2A19">
        <w:rPr>
          <w:rFonts w:ascii="Adobe Garamond Pro" w:hAnsi="Adobe Garamond Pro"/>
          <w:sz w:val="22"/>
          <w:szCs w:val="22"/>
        </w:rPr>
        <w:t xml:space="preserve">, 123. </w:t>
      </w:r>
      <w:hyperlink r:id="rId21" w:tgtFrame="_blank" w:history="1">
        <w:r w:rsidRPr="000B2A19">
          <w:rPr>
            <w:rStyle w:val="Hyperlink"/>
            <w:rFonts w:ascii="Adobe Garamond Pro" w:eastAsiaTheme="majorEastAsia" w:hAnsi="Adobe Garamond Pro"/>
            <w:sz w:val="22"/>
            <w:szCs w:val="22"/>
          </w:rPr>
          <w:t>https://doi.org/10.1016/j.gexplo.2012.01.004</w:t>
        </w:r>
      </w:hyperlink>
    </w:p>
    <w:p w14:paraId="355219F4"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International Journal of Environmental Waste Management. (2022). A review of sustainable management of mining waste. </w:t>
      </w:r>
      <w:r w:rsidRPr="000B2A19">
        <w:rPr>
          <w:rFonts w:ascii="Adobe Garamond Pro" w:hAnsi="Adobe Garamond Pro"/>
          <w:i/>
          <w:iCs/>
          <w:sz w:val="22"/>
          <w:szCs w:val="22"/>
        </w:rPr>
        <w:t>International Journal of Environmental Waste Management</w:t>
      </w:r>
      <w:r w:rsidRPr="000B2A19">
        <w:rPr>
          <w:rFonts w:ascii="Adobe Garamond Pro" w:hAnsi="Adobe Garamond Pro"/>
          <w:sz w:val="22"/>
          <w:szCs w:val="22"/>
        </w:rPr>
        <w:t xml:space="preserve">, 29(4). </w:t>
      </w:r>
      <w:hyperlink r:id="rId22" w:tgtFrame="_blank" w:history="1">
        <w:r w:rsidRPr="000B2A19">
          <w:rPr>
            <w:rStyle w:val="Hyperlink"/>
            <w:rFonts w:ascii="Adobe Garamond Pro" w:eastAsiaTheme="majorEastAsia" w:hAnsi="Adobe Garamond Pro"/>
            <w:sz w:val="22"/>
            <w:szCs w:val="22"/>
          </w:rPr>
          <w:t>https://doi.org/10.1504/IJEWM.2022.122858</w:t>
        </w:r>
      </w:hyperlink>
    </w:p>
    <w:p w14:paraId="29BA7F8E"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Rompas, B., dkk. (2022). Implikasi kebijakan sektor hilir pertambangan: Ancaman dan perlindungan lingkungan. </w:t>
      </w:r>
      <w:r w:rsidRPr="000B2A19">
        <w:rPr>
          <w:rFonts w:ascii="Adobe Garamond Pro" w:hAnsi="Adobe Garamond Pro"/>
          <w:i/>
          <w:iCs/>
          <w:sz w:val="22"/>
          <w:szCs w:val="22"/>
        </w:rPr>
        <w:t>Jurnal Ilmiah Cahaya Keadilan</w:t>
      </w:r>
      <w:r w:rsidRPr="000B2A19">
        <w:rPr>
          <w:rFonts w:ascii="Adobe Garamond Pro" w:hAnsi="Adobe Garamond Pro"/>
          <w:sz w:val="22"/>
          <w:szCs w:val="22"/>
        </w:rPr>
        <w:t xml:space="preserve">, 7(2). </w:t>
      </w:r>
      <w:hyperlink r:id="rId23" w:tgtFrame="_blank" w:history="1">
        <w:r w:rsidRPr="000B2A19">
          <w:rPr>
            <w:rStyle w:val="Hyperlink"/>
            <w:rFonts w:ascii="Adobe Garamond Pro" w:eastAsiaTheme="majorEastAsia" w:hAnsi="Adobe Garamond Pro"/>
            <w:sz w:val="22"/>
            <w:szCs w:val="22"/>
          </w:rPr>
          <w:t>https://doi.org/10.26623/jic.v7i2.4632</w:t>
        </w:r>
      </w:hyperlink>
    </w:p>
    <w:p w14:paraId="72BC4339"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Taberima, S., dkk. (2020). Organic fertilizer applications improve the growth of vegetable crops in tailings-affected soils of Timika. </w:t>
      </w:r>
      <w:r w:rsidRPr="000B2A19">
        <w:rPr>
          <w:rFonts w:ascii="Adobe Garamond Pro" w:hAnsi="Adobe Garamond Pro"/>
          <w:i/>
          <w:iCs/>
          <w:sz w:val="22"/>
          <w:szCs w:val="22"/>
        </w:rPr>
        <w:t>Nusantara Bioscience</w:t>
      </w:r>
      <w:r w:rsidRPr="000B2A19">
        <w:rPr>
          <w:rFonts w:ascii="Adobe Garamond Pro" w:hAnsi="Adobe Garamond Pro"/>
          <w:sz w:val="22"/>
          <w:szCs w:val="22"/>
        </w:rPr>
        <w:t xml:space="preserve">, 12(1). </w:t>
      </w:r>
      <w:hyperlink r:id="rId24" w:tgtFrame="_blank" w:history="1">
        <w:r w:rsidRPr="000B2A19">
          <w:rPr>
            <w:rStyle w:val="Hyperlink"/>
            <w:rFonts w:ascii="Adobe Garamond Pro" w:eastAsiaTheme="majorEastAsia" w:hAnsi="Adobe Garamond Pro"/>
            <w:sz w:val="22"/>
            <w:szCs w:val="22"/>
          </w:rPr>
          <w:t>https://doi.org/10.13057/nusbiosci/n120108</w:t>
        </w:r>
      </w:hyperlink>
    </w:p>
    <w:p w14:paraId="3B6BDD57"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Tjoetra, A., dkk. (2024). The gap between ecological violence and social injustice from mining. </w:t>
      </w:r>
      <w:r w:rsidRPr="000B2A19">
        <w:rPr>
          <w:rFonts w:ascii="Adobe Garamond Pro" w:hAnsi="Adobe Garamond Pro"/>
          <w:i/>
          <w:iCs/>
          <w:sz w:val="22"/>
          <w:szCs w:val="22"/>
        </w:rPr>
        <w:t>Sosiologi Reflektif</w:t>
      </w:r>
      <w:r w:rsidRPr="000B2A19">
        <w:rPr>
          <w:rFonts w:ascii="Adobe Garamond Pro" w:hAnsi="Adobe Garamond Pro"/>
          <w:sz w:val="22"/>
          <w:szCs w:val="22"/>
        </w:rPr>
        <w:t xml:space="preserve">, 7(1). </w:t>
      </w:r>
      <w:hyperlink r:id="rId25" w:tgtFrame="_blank" w:history="1">
        <w:r w:rsidRPr="000B2A19">
          <w:rPr>
            <w:rStyle w:val="Hyperlink"/>
            <w:rFonts w:ascii="Adobe Garamond Pro" w:eastAsiaTheme="majorEastAsia" w:hAnsi="Adobe Garamond Pro"/>
            <w:sz w:val="22"/>
            <w:szCs w:val="22"/>
          </w:rPr>
          <w:t>https://doi.org/10.21107/sml.v7i1.23842</w:t>
        </w:r>
      </w:hyperlink>
    </w:p>
    <w:p w14:paraId="3417215B"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Widyanti, R., dkk. (2023). Green knowledge management to achieve corporate sustainable development. </w:t>
      </w:r>
      <w:r w:rsidRPr="000B2A19">
        <w:rPr>
          <w:rFonts w:ascii="Adobe Garamond Pro" w:hAnsi="Adobe Garamond Pro"/>
          <w:i/>
          <w:iCs/>
          <w:sz w:val="22"/>
          <w:szCs w:val="22"/>
        </w:rPr>
        <w:t>Journal of Infrastructure, Policy and Development</w:t>
      </w:r>
      <w:r w:rsidRPr="000B2A19">
        <w:rPr>
          <w:rFonts w:ascii="Adobe Garamond Pro" w:hAnsi="Adobe Garamond Pro"/>
          <w:sz w:val="22"/>
          <w:szCs w:val="22"/>
        </w:rPr>
        <w:t xml:space="preserve">, 7(2). </w:t>
      </w:r>
      <w:hyperlink r:id="rId26" w:tgtFrame="_blank" w:history="1">
        <w:r w:rsidRPr="000B2A19">
          <w:rPr>
            <w:rStyle w:val="Hyperlink"/>
            <w:rFonts w:ascii="Adobe Garamond Pro" w:eastAsiaTheme="majorEastAsia" w:hAnsi="Adobe Garamond Pro"/>
            <w:sz w:val="22"/>
            <w:szCs w:val="22"/>
          </w:rPr>
          <w:t>https://doi.org/10.24294/jipd.v7i2.2154</w:t>
        </w:r>
      </w:hyperlink>
    </w:p>
    <w:p w14:paraId="76677639"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Adebisi, J. A., Zvarivadza, T., &amp; Onifade, M. (2024). Towards application of positioning systems in the mining industry. </w:t>
      </w:r>
      <w:r w:rsidRPr="000B2A19">
        <w:rPr>
          <w:rFonts w:ascii="Adobe Garamond Pro" w:hAnsi="Adobe Garamond Pro"/>
          <w:i/>
          <w:iCs/>
          <w:sz w:val="22"/>
          <w:szCs w:val="22"/>
        </w:rPr>
        <w:t>International Journal of Mining and Mineral Engineering</w:t>
      </w:r>
      <w:r w:rsidRPr="000B2A19">
        <w:rPr>
          <w:rFonts w:ascii="Adobe Garamond Pro" w:hAnsi="Adobe Garamond Pro"/>
          <w:sz w:val="22"/>
          <w:szCs w:val="22"/>
        </w:rPr>
        <w:t xml:space="preserve">, 14(1). </w:t>
      </w:r>
      <w:hyperlink r:id="rId27" w:tgtFrame="_blank" w:history="1">
        <w:r w:rsidRPr="000B2A19">
          <w:rPr>
            <w:rStyle w:val="Hyperlink"/>
            <w:rFonts w:ascii="Adobe Garamond Pro" w:eastAsiaTheme="majorEastAsia" w:hAnsi="Adobe Garamond Pro"/>
            <w:sz w:val="22"/>
            <w:szCs w:val="22"/>
          </w:rPr>
          <w:t>https://doi.org/10.1504/ijmme.2024.10063420</w:t>
        </w:r>
      </w:hyperlink>
    </w:p>
    <w:p w14:paraId="7A2F648F"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Arsad, J. H., dkk. (2024). Legal responsibility of mining companies for agricultural land damage due to mining activities in Wasile. </w:t>
      </w:r>
      <w:r w:rsidRPr="000B2A19">
        <w:rPr>
          <w:rFonts w:ascii="Adobe Garamond Pro" w:hAnsi="Adobe Garamond Pro"/>
          <w:i/>
          <w:iCs/>
          <w:sz w:val="22"/>
          <w:szCs w:val="22"/>
        </w:rPr>
        <w:t>Edelweiss Applied Science and Technology</w:t>
      </w:r>
      <w:r w:rsidRPr="000B2A19">
        <w:rPr>
          <w:rFonts w:ascii="Adobe Garamond Pro" w:hAnsi="Adobe Garamond Pro"/>
          <w:sz w:val="22"/>
          <w:szCs w:val="22"/>
        </w:rPr>
        <w:t xml:space="preserve">, 8(1). </w:t>
      </w:r>
      <w:hyperlink r:id="rId28" w:tgtFrame="_blank" w:history="1">
        <w:r w:rsidRPr="000B2A19">
          <w:rPr>
            <w:rStyle w:val="Hyperlink"/>
            <w:rFonts w:ascii="Adobe Garamond Pro" w:eastAsiaTheme="majorEastAsia" w:hAnsi="Adobe Garamond Pro"/>
            <w:sz w:val="22"/>
            <w:szCs w:val="22"/>
          </w:rPr>
          <w:t>https://doi.org/10.7160/edelweiss.v8i1.123</w:t>
        </w:r>
      </w:hyperlink>
    </w:p>
    <w:p w14:paraId="0731CBE5"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Haryadi, D., dkk. (2022). Environmental law awareness as social capital strategic in unconventional tin mining activities. </w:t>
      </w:r>
      <w:r w:rsidRPr="000B2A19">
        <w:rPr>
          <w:rFonts w:ascii="Adobe Garamond Pro" w:hAnsi="Adobe Garamond Pro"/>
          <w:i/>
          <w:iCs/>
          <w:sz w:val="22"/>
          <w:szCs w:val="22"/>
        </w:rPr>
        <w:t>Society</w:t>
      </w:r>
      <w:r w:rsidRPr="000B2A19">
        <w:rPr>
          <w:rFonts w:ascii="Adobe Garamond Pro" w:hAnsi="Adobe Garamond Pro"/>
          <w:sz w:val="22"/>
          <w:szCs w:val="22"/>
        </w:rPr>
        <w:t xml:space="preserve">, 10(1). </w:t>
      </w:r>
      <w:hyperlink r:id="rId29" w:tgtFrame="_blank" w:history="1">
        <w:r w:rsidRPr="000B2A19">
          <w:rPr>
            <w:rStyle w:val="Hyperlink"/>
            <w:rFonts w:ascii="Adobe Garamond Pro" w:eastAsiaTheme="majorEastAsia" w:hAnsi="Adobe Garamond Pro"/>
            <w:sz w:val="22"/>
            <w:szCs w:val="22"/>
          </w:rPr>
          <w:t>https://doi.org/10.33019/society.v10i1.408</w:t>
        </w:r>
      </w:hyperlink>
    </w:p>
    <w:p w14:paraId="1C67D31B"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Hidjaz, K. (2019). Effectiveness of environmental policy enforcement and the impact by industrial mining. </w:t>
      </w:r>
      <w:r w:rsidRPr="000B2A19">
        <w:rPr>
          <w:rFonts w:ascii="Adobe Garamond Pro" w:hAnsi="Adobe Garamond Pro"/>
          <w:i/>
          <w:iCs/>
          <w:sz w:val="22"/>
          <w:szCs w:val="22"/>
        </w:rPr>
        <w:t>Journal of Legal, Ethical and Regulatory Issues</w:t>
      </w:r>
      <w:r w:rsidRPr="000B2A19">
        <w:rPr>
          <w:rFonts w:ascii="Adobe Garamond Pro" w:hAnsi="Adobe Garamond Pro"/>
          <w:sz w:val="22"/>
          <w:szCs w:val="22"/>
        </w:rPr>
        <w:t>, 22(1).</w:t>
      </w:r>
    </w:p>
    <w:p w14:paraId="561A6E27"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lastRenderedPageBreak/>
        <w:t xml:space="preserve">Holthouse, K. (2021). </w:t>
      </w:r>
      <w:r w:rsidRPr="000B2A19">
        <w:rPr>
          <w:rFonts w:ascii="Adobe Garamond Pro" w:hAnsi="Adobe Garamond Pro"/>
          <w:i/>
          <w:iCs/>
          <w:sz w:val="22"/>
          <w:szCs w:val="22"/>
        </w:rPr>
        <w:t>The local politics of mining under decentralisation in Indonesia</w:t>
      </w:r>
      <w:r w:rsidRPr="000B2A19">
        <w:rPr>
          <w:rFonts w:ascii="Adobe Garamond Pro" w:hAnsi="Adobe Garamond Pro"/>
          <w:sz w:val="22"/>
          <w:szCs w:val="22"/>
        </w:rPr>
        <w:t xml:space="preserve"> [Doctoral dissertation, Australian National University]. ANU Open Research Repository. </w:t>
      </w:r>
      <w:hyperlink r:id="rId30" w:tgtFrame="_blank" w:history="1">
        <w:r w:rsidRPr="000B2A19">
          <w:rPr>
            <w:rStyle w:val="Hyperlink"/>
            <w:rFonts w:ascii="Adobe Garamond Pro" w:eastAsiaTheme="majorEastAsia" w:hAnsi="Adobe Garamond Pro"/>
            <w:sz w:val="22"/>
            <w:szCs w:val="22"/>
          </w:rPr>
          <w:t>https://openresearch-repository.anu.edu.au/handle/1885/219212</w:t>
        </w:r>
      </w:hyperlink>
    </w:p>
    <w:p w14:paraId="4F00A29D"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Iksan, M., dkk. (2023). Environment-based learning media with green biochemistry approach. </w:t>
      </w:r>
      <w:r w:rsidRPr="000B2A19">
        <w:rPr>
          <w:rFonts w:ascii="Adobe Garamond Pro" w:hAnsi="Adobe Garamond Pro"/>
          <w:i/>
          <w:iCs/>
          <w:sz w:val="22"/>
          <w:szCs w:val="22"/>
        </w:rPr>
        <w:t>Jurnal Penelitian Pendidikan IPA (JPPIPA)</w:t>
      </w:r>
      <w:r w:rsidRPr="000B2A19">
        <w:rPr>
          <w:rFonts w:ascii="Adobe Garamond Pro" w:hAnsi="Adobe Garamond Pro"/>
          <w:sz w:val="22"/>
          <w:szCs w:val="22"/>
        </w:rPr>
        <w:t xml:space="preserve">, 9(11). </w:t>
      </w:r>
      <w:hyperlink r:id="rId31" w:tgtFrame="_blank" w:history="1">
        <w:r w:rsidRPr="000B2A19">
          <w:rPr>
            <w:rStyle w:val="Hyperlink"/>
            <w:rFonts w:ascii="Adobe Garamond Pro" w:eastAsiaTheme="majorEastAsia" w:hAnsi="Adobe Garamond Pro"/>
            <w:sz w:val="22"/>
            <w:szCs w:val="22"/>
          </w:rPr>
          <w:t>https://doi.org/10.29303/jppipa.v9i11.5173</w:t>
        </w:r>
      </w:hyperlink>
    </w:p>
    <w:p w14:paraId="666B2FB5"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Kadir, A., et al. (2020). Shadow economy and environmental damage regional autonomy era in Indonesia. </w:t>
      </w:r>
      <w:r w:rsidRPr="000B2A19">
        <w:rPr>
          <w:rFonts w:ascii="Adobe Garamond Pro" w:hAnsi="Adobe Garamond Pro"/>
          <w:i/>
          <w:iCs/>
          <w:sz w:val="22"/>
          <w:szCs w:val="22"/>
        </w:rPr>
        <w:t>Baltic Journal of Economic Studies</w:t>
      </w:r>
      <w:r w:rsidRPr="000B2A19">
        <w:rPr>
          <w:rFonts w:ascii="Adobe Garamond Pro" w:hAnsi="Adobe Garamond Pro"/>
          <w:sz w:val="22"/>
          <w:szCs w:val="22"/>
        </w:rPr>
        <w:t xml:space="preserve">, 6(3). </w:t>
      </w:r>
      <w:hyperlink r:id="rId32" w:tgtFrame="_blank" w:history="1">
        <w:r w:rsidRPr="000B2A19">
          <w:rPr>
            <w:rStyle w:val="Hyperlink"/>
            <w:rFonts w:ascii="Adobe Garamond Pro" w:eastAsiaTheme="majorEastAsia" w:hAnsi="Adobe Garamond Pro"/>
            <w:sz w:val="22"/>
            <w:szCs w:val="22"/>
          </w:rPr>
          <w:t>https://doi.org/10.30525/2256-0742/2020-6-3-63-69</w:t>
        </w:r>
      </w:hyperlink>
    </w:p>
    <w:p w14:paraId="39122851"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McDemott, et al. (2022). Catastrophic tailings dam failures and disaster risk. </w:t>
      </w:r>
      <w:r w:rsidRPr="000B2A19">
        <w:rPr>
          <w:rFonts w:ascii="Adobe Garamond Pro" w:hAnsi="Adobe Garamond Pro"/>
          <w:i/>
          <w:iCs/>
          <w:sz w:val="22"/>
          <w:szCs w:val="22"/>
        </w:rPr>
        <w:t>Scientific Reports</w:t>
      </w:r>
      <w:r w:rsidRPr="000B2A19">
        <w:rPr>
          <w:rFonts w:ascii="Adobe Garamond Pro" w:hAnsi="Adobe Garamond Pro"/>
          <w:sz w:val="22"/>
          <w:szCs w:val="22"/>
        </w:rPr>
        <w:t>.</w:t>
      </w:r>
    </w:p>
    <w:p w14:paraId="08A1850B"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Rahmat K., A., et al. (2020). A qualitative content analysis of environmental impact assessment: Case study of nickel smelter. </w:t>
      </w:r>
      <w:r w:rsidRPr="000B2A19">
        <w:rPr>
          <w:rFonts w:ascii="Adobe Garamond Pro" w:hAnsi="Adobe Garamond Pro"/>
          <w:i/>
          <w:iCs/>
          <w:sz w:val="22"/>
          <w:szCs w:val="22"/>
        </w:rPr>
        <w:t>Heliyon</w:t>
      </w:r>
      <w:r w:rsidRPr="000B2A19">
        <w:rPr>
          <w:rFonts w:ascii="Adobe Garamond Pro" w:hAnsi="Adobe Garamond Pro"/>
          <w:sz w:val="22"/>
          <w:szCs w:val="22"/>
        </w:rPr>
        <w:t xml:space="preserve">, 6(5). </w:t>
      </w:r>
      <w:hyperlink r:id="rId33" w:tgtFrame="_blank" w:history="1">
        <w:r w:rsidRPr="000B2A19">
          <w:rPr>
            <w:rStyle w:val="Hyperlink"/>
            <w:rFonts w:ascii="Adobe Garamond Pro" w:eastAsiaTheme="majorEastAsia" w:hAnsi="Adobe Garamond Pro"/>
            <w:sz w:val="22"/>
            <w:szCs w:val="22"/>
          </w:rPr>
          <w:t>https://doi.org/10.1016/j.heliyon.2020.e04051</w:t>
        </w:r>
      </w:hyperlink>
    </w:p>
    <w:p w14:paraId="3779B3C4"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Rola, W. R., et al. (2010). Towards a sustainable mining waste management: An ex-ante analysis of a nickel mining project. </w:t>
      </w:r>
      <w:r w:rsidRPr="000B2A19">
        <w:rPr>
          <w:rFonts w:ascii="Adobe Garamond Pro" w:hAnsi="Adobe Garamond Pro"/>
          <w:i/>
          <w:iCs/>
          <w:sz w:val="22"/>
          <w:szCs w:val="22"/>
        </w:rPr>
        <w:t>Journal of Environmental Science and Management (JESAM)</w:t>
      </w:r>
      <w:r w:rsidRPr="000B2A19">
        <w:rPr>
          <w:rFonts w:ascii="Adobe Garamond Pro" w:hAnsi="Adobe Garamond Pro"/>
          <w:sz w:val="22"/>
          <w:szCs w:val="22"/>
        </w:rPr>
        <w:t xml:space="preserve">, 13(2). </w:t>
      </w:r>
      <w:hyperlink r:id="rId34" w:tgtFrame="_blank" w:history="1">
        <w:r w:rsidRPr="000B2A19">
          <w:rPr>
            <w:rStyle w:val="Hyperlink"/>
            <w:rFonts w:ascii="Adobe Garamond Pro" w:eastAsiaTheme="majorEastAsia" w:hAnsi="Adobe Garamond Pro"/>
            <w:sz w:val="22"/>
            <w:szCs w:val="22"/>
          </w:rPr>
          <w:t>https://doi.org/10.3860/jesam.v13i2.1711</w:t>
        </w:r>
      </w:hyperlink>
    </w:p>
    <w:p w14:paraId="52F22597"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Rusdinar, Y., et al. (2011). A hydrogeochemical review of riverine mine tailings... </w:t>
      </w:r>
      <w:r w:rsidRPr="000B2A19">
        <w:rPr>
          <w:rFonts w:ascii="Adobe Garamond Pro" w:hAnsi="Adobe Garamond Pro"/>
          <w:i/>
          <w:iCs/>
          <w:sz w:val="22"/>
          <w:szCs w:val="22"/>
        </w:rPr>
        <w:t>Applied Geochemistry</w:t>
      </w:r>
      <w:r w:rsidRPr="000B2A19">
        <w:rPr>
          <w:rFonts w:ascii="Adobe Garamond Pro" w:hAnsi="Adobe Garamond Pro"/>
          <w:sz w:val="22"/>
          <w:szCs w:val="22"/>
        </w:rPr>
        <w:t xml:space="preserve">, 26(8). </w:t>
      </w:r>
      <w:hyperlink r:id="rId35" w:tgtFrame="_blank" w:history="1">
        <w:r w:rsidRPr="000B2A19">
          <w:rPr>
            <w:rStyle w:val="Hyperlink"/>
            <w:rFonts w:ascii="Adobe Garamond Pro" w:eastAsiaTheme="majorEastAsia" w:hAnsi="Adobe Garamond Pro"/>
            <w:sz w:val="22"/>
            <w:szCs w:val="22"/>
          </w:rPr>
          <w:t>https://doi.org/10.1016/j.apgeochem.2011.03.111</w:t>
        </w:r>
      </w:hyperlink>
    </w:p>
    <w:p w14:paraId="2CA41C21" w14:textId="6E563EFD"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Tewu, D., dkk. (2025). Evaluating the effectiveness of environmental and social risk mitigation in the X mining industry in Raja Ampat. </w:t>
      </w:r>
      <w:r w:rsidRPr="000B2A19">
        <w:rPr>
          <w:rFonts w:ascii="Adobe Garamond Pro" w:hAnsi="Adobe Garamond Pro"/>
          <w:i/>
          <w:iCs/>
          <w:sz w:val="22"/>
          <w:szCs w:val="22"/>
        </w:rPr>
        <w:t>Jurnal Manajemen Risiko</w:t>
      </w:r>
      <w:r w:rsidRPr="000B2A19">
        <w:rPr>
          <w:rFonts w:ascii="Adobe Garamond Pro" w:hAnsi="Adobe Garamond Pro"/>
          <w:sz w:val="22"/>
          <w:szCs w:val="22"/>
        </w:rPr>
        <w:t>.</w:t>
      </w:r>
    </w:p>
    <w:p w14:paraId="0C867AFF" w14:textId="56B82498" w:rsidR="00D56A5F" w:rsidRPr="000B2A19" w:rsidRDefault="00D56A5F" w:rsidP="000B2A19">
      <w:pPr>
        <w:pStyle w:val="NormalWeb"/>
        <w:spacing w:line="360" w:lineRule="auto"/>
        <w:ind w:left="720" w:hanging="720"/>
        <w:jc w:val="both"/>
        <w:rPr>
          <w:rFonts w:ascii="Adobe Garamond Pro" w:hAnsi="Adobe Garamond Pro"/>
          <w:sz w:val="22"/>
          <w:szCs w:val="22"/>
        </w:rPr>
      </w:pPr>
      <w:bookmarkStart w:id="4" w:name="_Hlk217656551"/>
      <w:r w:rsidRPr="000B2A19">
        <w:rPr>
          <w:rFonts w:ascii="Adobe Garamond Pro" w:hAnsi="Adobe Garamond Pro"/>
          <w:sz w:val="22"/>
          <w:szCs w:val="22"/>
        </w:rPr>
        <w:t xml:space="preserve">Pardede, M. (2023). </w:t>
      </w:r>
      <w:r w:rsidRPr="000B2A19">
        <w:rPr>
          <w:rStyle w:val="Emphasis"/>
          <w:rFonts w:ascii="Adobe Garamond Pro" w:hAnsi="Adobe Garamond Pro"/>
          <w:sz w:val="22"/>
          <w:szCs w:val="22"/>
        </w:rPr>
        <w:t>Corporate governance, corporate social responsibility, and firm risk: The case of Indonesian-listed firms</w:t>
      </w:r>
    </w:p>
    <w:bookmarkEnd w:id="4"/>
    <w:p w14:paraId="64CA625C" w14:textId="77777777" w:rsidR="00A67F58" w:rsidRPr="000B2A19" w:rsidRDefault="00825BC7" w:rsidP="000B2A19">
      <w:pPr>
        <w:tabs>
          <w:tab w:val="left" w:pos="993"/>
        </w:tabs>
        <w:spacing w:before="160" w:after="80" w:line="360" w:lineRule="auto"/>
        <w:jc w:val="both"/>
        <w:rPr>
          <w:rFonts w:ascii="Adobe Garamond Pro" w:hAnsi="Adobe Garamond Pro" w:cs="Times New Roman"/>
          <w:b/>
          <w:lang w:val="id-ID"/>
        </w:rPr>
      </w:pPr>
      <w:r w:rsidRPr="000B2A19">
        <w:rPr>
          <w:rFonts w:ascii="Adobe Garamond Pro" w:hAnsi="Adobe Garamond Pro" w:cs="Times New Roman"/>
          <w:b/>
          <w:lang w:val="id-ID"/>
        </w:rPr>
        <w:t>Books</w:t>
      </w:r>
    </w:p>
    <w:p w14:paraId="46CF3EF5"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lang w:val="id-ID"/>
        </w:rPr>
      </w:pPr>
      <w:r w:rsidRPr="000B2A19">
        <w:rPr>
          <w:rFonts w:ascii="Adobe Garamond Pro" w:hAnsi="Adobe Garamond Pro" w:cs="Times New Roman"/>
          <w:lang w:val="id-ID"/>
        </w:rPr>
        <w:t xml:space="preserve">Bebbington, A., Abdulai, A. G., Bebbington, D. H., Hinfelaar, M., &amp; Sanborn, C. (2018). </w:t>
      </w:r>
      <w:r w:rsidRPr="000B2A19">
        <w:rPr>
          <w:rFonts w:ascii="Adobe Garamond Pro" w:hAnsi="Adobe Garamond Pro" w:cs="Times New Roman"/>
          <w:i/>
          <w:iCs/>
          <w:lang w:val="id-ID"/>
        </w:rPr>
        <w:t>Governing extractive industries: Politics, histories, ideas</w:t>
      </w:r>
      <w:r w:rsidRPr="000B2A19">
        <w:rPr>
          <w:rFonts w:ascii="Adobe Garamond Pro" w:hAnsi="Adobe Garamond Pro" w:cs="Times New Roman"/>
          <w:lang w:val="id-ID"/>
        </w:rPr>
        <w:t>. Oxford University Press.</w:t>
      </w:r>
    </w:p>
    <w:p w14:paraId="17AF29BA" w14:textId="77777777" w:rsidR="004D07E5" w:rsidRPr="000B2A19" w:rsidRDefault="004D07E5" w:rsidP="000B2A19">
      <w:pPr>
        <w:tabs>
          <w:tab w:val="left" w:pos="993"/>
        </w:tabs>
        <w:spacing w:after="80" w:line="360" w:lineRule="auto"/>
        <w:ind w:left="425" w:hanging="425"/>
        <w:jc w:val="both"/>
        <w:rPr>
          <w:rFonts w:ascii="Adobe Garamond Pro" w:hAnsi="Adobe Garamond Pro" w:cs="Times New Roman"/>
          <w:lang w:val="id-ID"/>
        </w:rPr>
      </w:pPr>
      <w:r w:rsidRPr="000B2A19">
        <w:rPr>
          <w:rFonts w:ascii="Adobe Garamond Pro" w:hAnsi="Adobe Garamond Pro" w:cs="Times New Roman"/>
          <w:lang w:val="id-ID"/>
        </w:rPr>
        <w:t xml:space="preserve">Santamarina, J. C., Torres-Cruz, L. A., &amp; Bachus, R. C. (2020). </w:t>
      </w:r>
      <w:r w:rsidRPr="000B2A19">
        <w:rPr>
          <w:rFonts w:ascii="Adobe Garamond Pro" w:hAnsi="Adobe Garamond Pro" w:cs="Times New Roman"/>
          <w:i/>
          <w:iCs/>
          <w:lang w:val="id-ID"/>
        </w:rPr>
        <w:t>Why do tailings dams fail?</w:t>
      </w:r>
      <w:r w:rsidRPr="000B2A19">
        <w:rPr>
          <w:rFonts w:ascii="Adobe Garamond Pro" w:hAnsi="Adobe Garamond Pro" w:cs="Times New Roman"/>
          <w:lang w:val="id-ID"/>
        </w:rPr>
        <w:t xml:space="preserve"> Springer.</w:t>
      </w:r>
    </w:p>
    <w:p w14:paraId="358DC2BD" w14:textId="77777777" w:rsidR="00A67F58" w:rsidRPr="000B2A19" w:rsidRDefault="00825BC7" w:rsidP="000B2A19">
      <w:pPr>
        <w:tabs>
          <w:tab w:val="left" w:pos="993"/>
        </w:tabs>
        <w:spacing w:before="160" w:after="80" w:line="360" w:lineRule="auto"/>
        <w:jc w:val="both"/>
        <w:rPr>
          <w:rFonts w:ascii="Adobe Garamond Pro" w:hAnsi="Adobe Garamond Pro" w:cs="Times New Roman"/>
          <w:b/>
          <w:lang w:val="id-ID"/>
        </w:rPr>
      </w:pPr>
      <w:r w:rsidRPr="000B2A19">
        <w:rPr>
          <w:rFonts w:ascii="Adobe Garamond Pro" w:hAnsi="Adobe Garamond Pro" w:cs="Times New Roman"/>
          <w:b/>
          <w:lang w:val="id-ID"/>
        </w:rPr>
        <w:t>Book Chapter</w:t>
      </w:r>
    </w:p>
    <w:p w14:paraId="1A74AA19" w14:textId="2D50820F" w:rsidR="00A67F58" w:rsidRPr="000B2A19" w:rsidRDefault="004D07E5" w:rsidP="000B2A19">
      <w:pPr>
        <w:tabs>
          <w:tab w:val="left" w:pos="993"/>
        </w:tabs>
        <w:spacing w:after="0" w:line="360" w:lineRule="auto"/>
        <w:ind w:left="284" w:hanging="284"/>
        <w:jc w:val="both"/>
        <w:rPr>
          <w:rFonts w:ascii="Adobe Garamond Pro" w:hAnsi="Adobe Garamond Pro" w:cs="Times New Roman"/>
          <w:lang w:val="id-ID"/>
        </w:rPr>
      </w:pPr>
      <w:r w:rsidRPr="000B2A19">
        <w:rPr>
          <w:rFonts w:ascii="Adobe Garamond Pro" w:hAnsi="Adobe Garamond Pro" w:cs="Times New Roman"/>
        </w:rPr>
        <w:t xml:space="preserve">McLellan, B. C., et al. (2022). Beyond the social license to operate. Dalam </w:t>
      </w:r>
      <w:r w:rsidRPr="000B2A19">
        <w:rPr>
          <w:rFonts w:ascii="Adobe Garamond Pro" w:hAnsi="Adobe Garamond Pro" w:cs="Times New Roman"/>
          <w:i/>
          <w:iCs/>
        </w:rPr>
        <w:t>Resources policy and sustainable mining</w:t>
      </w:r>
      <w:r w:rsidRPr="000B2A19">
        <w:rPr>
          <w:rFonts w:ascii="Adobe Garamond Pro" w:hAnsi="Adobe Garamond Pro" w:cs="Times New Roman"/>
        </w:rPr>
        <w:t xml:space="preserve"> (hlm. 45–63). Elsevier.</w:t>
      </w:r>
    </w:p>
    <w:p w14:paraId="43CCA504" w14:textId="77777777" w:rsidR="00A67F58" w:rsidRPr="000B2A19" w:rsidRDefault="00825BC7" w:rsidP="000B2A19">
      <w:pPr>
        <w:tabs>
          <w:tab w:val="left" w:pos="993"/>
        </w:tabs>
        <w:spacing w:before="160" w:after="80" w:line="360" w:lineRule="auto"/>
        <w:jc w:val="both"/>
        <w:rPr>
          <w:rFonts w:ascii="Adobe Garamond Pro" w:hAnsi="Adobe Garamond Pro" w:cs="Times New Roman"/>
          <w:b/>
          <w:lang w:val="id-ID"/>
        </w:rPr>
      </w:pPr>
      <w:r w:rsidRPr="000B2A19">
        <w:rPr>
          <w:rFonts w:ascii="Adobe Garamond Pro" w:hAnsi="Adobe Garamond Pro" w:cs="Times New Roman"/>
          <w:b/>
          <w:lang w:val="id-ID"/>
        </w:rPr>
        <w:t>Act (statute/legistation)</w:t>
      </w:r>
    </w:p>
    <w:p w14:paraId="0EDD9C69" w14:textId="77777777" w:rsidR="004D07E5" w:rsidRPr="000B2A19" w:rsidRDefault="004D07E5" w:rsidP="000B2A19">
      <w:pPr>
        <w:tabs>
          <w:tab w:val="left" w:pos="993"/>
        </w:tabs>
        <w:spacing w:after="0" w:line="360" w:lineRule="auto"/>
        <w:ind w:left="284" w:hanging="284"/>
        <w:jc w:val="both"/>
        <w:rPr>
          <w:rFonts w:ascii="Adobe Garamond Pro" w:hAnsi="Adobe Garamond Pro" w:cs="Times New Roman"/>
          <w:lang w:val="id-ID"/>
        </w:rPr>
      </w:pPr>
      <w:r w:rsidRPr="000B2A19">
        <w:rPr>
          <w:rFonts w:ascii="Adobe Garamond Pro" w:hAnsi="Adobe Garamond Pro" w:cs="Times New Roman"/>
          <w:lang w:val="id-ID"/>
        </w:rPr>
        <w:t xml:space="preserve">Republik Indonesia. (2009). </w:t>
      </w:r>
      <w:r w:rsidRPr="000B2A19">
        <w:rPr>
          <w:rFonts w:ascii="Adobe Garamond Pro" w:hAnsi="Adobe Garamond Pro" w:cs="Times New Roman"/>
          <w:b/>
          <w:bCs/>
          <w:lang w:val="id-ID"/>
        </w:rPr>
        <w:t>Undang-Undang Nomor 32 Tahun 2009 tentang Perlindungan dan Pengelolaan Lingkungan Hidup</w:t>
      </w:r>
      <w:r w:rsidRPr="000B2A19">
        <w:rPr>
          <w:rFonts w:ascii="Adobe Garamond Pro" w:hAnsi="Adobe Garamond Pro" w:cs="Times New Roman"/>
          <w:lang w:val="id-ID"/>
        </w:rPr>
        <w:t>.</w:t>
      </w:r>
    </w:p>
    <w:p w14:paraId="66C623A3" w14:textId="77777777" w:rsidR="004D07E5" w:rsidRPr="000B2A19" w:rsidRDefault="004D07E5" w:rsidP="000B2A19">
      <w:pPr>
        <w:tabs>
          <w:tab w:val="left" w:pos="993"/>
        </w:tabs>
        <w:spacing w:after="0" w:line="360" w:lineRule="auto"/>
        <w:ind w:left="284" w:hanging="284"/>
        <w:jc w:val="both"/>
        <w:rPr>
          <w:rFonts w:ascii="Adobe Garamond Pro" w:hAnsi="Adobe Garamond Pro" w:cs="Times New Roman"/>
          <w:lang w:val="id-ID"/>
        </w:rPr>
      </w:pPr>
      <w:r w:rsidRPr="000B2A19">
        <w:rPr>
          <w:rFonts w:ascii="Adobe Garamond Pro" w:hAnsi="Adobe Garamond Pro" w:cs="Times New Roman"/>
          <w:lang w:val="id-ID"/>
        </w:rPr>
        <w:lastRenderedPageBreak/>
        <w:t xml:space="preserve">Republik Indonesia. (2021). </w:t>
      </w:r>
      <w:r w:rsidRPr="000B2A19">
        <w:rPr>
          <w:rFonts w:ascii="Adobe Garamond Pro" w:hAnsi="Adobe Garamond Pro" w:cs="Times New Roman"/>
          <w:b/>
          <w:bCs/>
          <w:lang w:val="id-ID"/>
        </w:rPr>
        <w:t>Peraturan Pemerintah Nomor 22 Tahun 2021 tentang Penyelenggaraan Perlindungan dan Pengelolaan Lingkungan Hidup</w:t>
      </w:r>
      <w:r w:rsidRPr="000B2A19">
        <w:rPr>
          <w:rFonts w:ascii="Adobe Garamond Pro" w:hAnsi="Adobe Garamond Pro" w:cs="Times New Roman"/>
          <w:lang w:val="id-ID"/>
        </w:rPr>
        <w:t>.</w:t>
      </w:r>
    </w:p>
    <w:p w14:paraId="57D3C237" w14:textId="77777777" w:rsidR="00A67F58" w:rsidRPr="000B2A19" w:rsidRDefault="00825BC7" w:rsidP="000B2A19">
      <w:pPr>
        <w:tabs>
          <w:tab w:val="left" w:pos="993"/>
        </w:tabs>
        <w:spacing w:before="160" w:after="80" w:line="360" w:lineRule="auto"/>
        <w:jc w:val="both"/>
        <w:rPr>
          <w:rFonts w:ascii="Adobe Garamond Pro" w:hAnsi="Adobe Garamond Pro" w:cs="Times New Roman"/>
          <w:b/>
          <w:lang w:val="id-ID"/>
        </w:rPr>
      </w:pPr>
      <w:r w:rsidRPr="000B2A19">
        <w:rPr>
          <w:rFonts w:ascii="Adobe Garamond Pro" w:hAnsi="Adobe Garamond Pro" w:cs="Times New Roman"/>
          <w:b/>
          <w:lang w:val="id-ID"/>
        </w:rPr>
        <w:t>Internet</w:t>
      </w:r>
    </w:p>
    <w:p w14:paraId="179E70C6" w14:textId="77777777" w:rsidR="004D07E5" w:rsidRPr="000B2A19" w:rsidRDefault="004D07E5" w:rsidP="000B2A19">
      <w:pPr>
        <w:tabs>
          <w:tab w:val="left" w:pos="993"/>
        </w:tabs>
        <w:spacing w:after="0" w:line="360" w:lineRule="auto"/>
        <w:ind w:left="284" w:hanging="284"/>
        <w:jc w:val="both"/>
        <w:rPr>
          <w:rFonts w:ascii="Adobe Garamond Pro" w:hAnsi="Adobe Garamond Pro" w:cs="Times New Roman"/>
          <w:lang w:val="id-ID"/>
        </w:rPr>
      </w:pPr>
      <w:r w:rsidRPr="000B2A19">
        <w:rPr>
          <w:rFonts w:ascii="Adobe Garamond Pro" w:hAnsi="Adobe Garamond Pro" w:cs="Times New Roman"/>
          <w:lang w:val="id-ID"/>
        </w:rPr>
        <w:t xml:space="preserve">Kementerian Lingkungan Hidup dan Kehutanan. (2023). </w:t>
      </w:r>
      <w:r w:rsidRPr="000B2A19">
        <w:rPr>
          <w:rFonts w:ascii="Adobe Garamond Pro" w:hAnsi="Adobe Garamond Pro" w:cs="Times New Roman"/>
          <w:i/>
          <w:iCs/>
          <w:lang w:val="id-ID"/>
        </w:rPr>
        <w:t>Laporan pengelolaan lingkungan pertambangan</w:t>
      </w:r>
      <w:r w:rsidRPr="000B2A19">
        <w:rPr>
          <w:rFonts w:ascii="Adobe Garamond Pro" w:hAnsi="Adobe Garamond Pro" w:cs="Times New Roman"/>
          <w:lang w:val="id-ID"/>
        </w:rPr>
        <w:t>. Diakses dari situs resmi KLHK.</w:t>
      </w:r>
    </w:p>
    <w:p w14:paraId="34591EC4" w14:textId="77777777" w:rsidR="004D07E5" w:rsidRPr="000B2A19" w:rsidRDefault="004D07E5" w:rsidP="000B2A19">
      <w:pPr>
        <w:tabs>
          <w:tab w:val="left" w:pos="993"/>
        </w:tabs>
        <w:spacing w:after="0" w:line="360" w:lineRule="auto"/>
        <w:ind w:left="284" w:hanging="284"/>
        <w:jc w:val="both"/>
        <w:rPr>
          <w:rFonts w:ascii="Adobe Garamond Pro" w:hAnsi="Adobe Garamond Pro" w:cs="Times New Roman"/>
          <w:lang w:val="id-ID"/>
        </w:rPr>
      </w:pPr>
      <w:r w:rsidRPr="000B2A19">
        <w:rPr>
          <w:rFonts w:ascii="Adobe Garamond Pro" w:hAnsi="Adobe Garamond Pro" w:cs="Times New Roman"/>
          <w:lang w:val="id-ID"/>
        </w:rPr>
        <w:t xml:space="preserve">PT Freeport Indonesia. (2022). </w:t>
      </w:r>
      <w:r w:rsidRPr="000B2A19">
        <w:rPr>
          <w:rFonts w:ascii="Adobe Garamond Pro" w:hAnsi="Adobe Garamond Pro" w:cs="Times New Roman"/>
          <w:i/>
          <w:iCs/>
          <w:lang w:val="id-ID"/>
        </w:rPr>
        <w:t>Environmental audit and tailings management report</w:t>
      </w:r>
      <w:r w:rsidRPr="000B2A19">
        <w:rPr>
          <w:rFonts w:ascii="Adobe Garamond Pro" w:hAnsi="Adobe Garamond Pro" w:cs="Times New Roman"/>
          <w:lang w:val="id-ID"/>
        </w:rPr>
        <w:t>. Diakses dari situs resmi perusahaan.</w:t>
      </w:r>
    </w:p>
    <w:p w14:paraId="4EE50D6E"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Triyanti, A., Indrawan, M., Nurhidayah, L., &amp; Aris, M. (n.d.). </w:t>
      </w:r>
      <w:r w:rsidRPr="000B2A19">
        <w:rPr>
          <w:rFonts w:ascii="Adobe Garamond Pro" w:hAnsi="Adobe Garamond Pro" w:cs="Times New Roman"/>
          <w:i/>
          <w:iCs/>
        </w:rPr>
        <w:t>Environmental Governance in Indonesia</w:t>
      </w:r>
      <w:r w:rsidRPr="000B2A19">
        <w:rPr>
          <w:rFonts w:ascii="Adobe Garamond Pro" w:hAnsi="Adobe Garamond Pro" w:cs="Times New Roman"/>
        </w:rPr>
        <w:t>.</w:t>
      </w:r>
    </w:p>
    <w:p w14:paraId="43D6D5A8" w14:textId="77777777" w:rsidR="004564C3" w:rsidRPr="000B2A19" w:rsidRDefault="004564C3" w:rsidP="000B2A19">
      <w:pPr>
        <w:pStyle w:val="NormalWeb"/>
        <w:spacing w:line="360" w:lineRule="auto"/>
        <w:ind w:left="720" w:hanging="720"/>
        <w:jc w:val="both"/>
        <w:rPr>
          <w:rFonts w:ascii="Adobe Garamond Pro" w:hAnsi="Adobe Garamond Pro"/>
          <w:sz w:val="22"/>
          <w:szCs w:val="22"/>
        </w:rPr>
      </w:pPr>
      <w:r w:rsidRPr="000B2A19">
        <w:rPr>
          <w:rFonts w:ascii="Adobe Garamond Pro" w:hAnsi="Adobe Garamond Pro"/>
          <w:sz w:val="22"/>
          <w:szCs w:val="22"/>
        </w:rPr>
        <w:t xml:space="preserve">Abplanalp, K. (2012). Blood Money: NZ investigative journalism case study. </w:t>
      </w:r>
      <w:r w:rsidRPr="000B2A19">
        <w:rPr>
          <w:rFonts w:ascii="Adobe Garamond Pro" w:hAnsi="Adobe Garamond Pro"/>
          <w:i/>
          <w:iCs/>
          <w:sz w:val="22"/>
          <w:szCs w:val="22"/>
        </w:rPr>
        <w:t>Pacific Journalism Review</w:t>
      </w:r>
      <w:r w:rsidRPr="000B2A19">
        <w:rPr>
          <w:rFonts w:ascii="Adobe Garamond Pro" w:hAnsi="Adobe Garamond Pro"/>
          <w:sz w:val="22"/>
          <w:szCs w:val="22"/>
        </w:rPr>
        <w:t xml:space="preserve">, 18(2). </w:t>
      </w:r>
      <w:hyperlink r:id="rId36" w:tgtFrame="_blank" w:history="1">
        <w:r w:rsidRPr="000B2A19">
          <w:rPr>
            <w:rStyle w:val="Hyperlink"/>
            <w:rFonts w:ascii="Adobe Garamond Pro" w:eastAsiaTheme="majorEastAsia" w:hAnsi="Adobe Garamond Pro"/>
            <w:sz w:val="22"/>
            <w:szCs w:val="22"/>
          </w:rPr>
          <w:t>https://doi.org/10.24135/pjr.v18i2.296</w:t>
        </w:r>
      </w:hyperlink>
    </w:p>
    <w:p w14:paraId="0E980854" w14:textId="77777777" w:rsidR="004564C3" w:rsidRPr="000B2A19" w:rsidRDefault="004564C3" w:rsidP="000B2A19">
      <w:pPr>
        <w:widowControl w:val="0"/>
        <w:autoSpaceDE w:val="0"/>
        <w:autoSpaceDN w:val="0"/>
        <w:adjustRightInd w:val="0"/>
        <w:spacing w:before="120" w:after="240" w:line="360" w:lineRule="auto"/>
        <w:ind w:left="720" w:hanging="720"/>
        <w:jc w:val="both"/>
        <w:rPr>
          <w:rFonts w:ascii="Adobe Garamond Pro" w:hAnsi="Adobe Garamond Pro" w:cs="Times New Roman"/>
        </w:rPr>
      </w:pPr>
      <w:r w:rsidRPr="000B2A19">
        <w:rPr>
          <w:rFonts w:ascii="Adobe Garamond Pro" w:hAnsi="Adobe Garamond Pro" w:cs="Times New Roman"/>
        </w:rPr>
        <w:t xml:space="preserve">Pedoman, C. M. (n.d.). </w:t>
      </w:r>
      <w:r w:rsidRPr="000B2A19">
        <w:rPr>
          <w:rFonts w:ascii="Adobe Garamond Pro" w:hAnsi="Adobe Garamond Pro" w:cs="Times New Roman"/>
          <w:i/>
          <w:iCs/>
        </w:rPr>
        <w:t>Pedoman pelaporan keberlanjutan</w:t>
      </w:r>
      <w:r w:rsidRPr="000B2A19">
        <w:rPr>
          <w:rFonts w:ascii="Adobe Garamond Pro" w:hAnsi="Adobe Garamond Pro" w:cs="Times New Roman"/>
        </w:rPr>
        <w:t>.</w:t>
      </w:r>
    </w:p>
    <w:p w14:paraId="71CE9138" w14:textId="40FAFCFC" w:rsidR="00A67F58" w:rsidRPr="00F07765" w:rsidRDefault="00A67F58" w:rsidP="005E2E8C">
      <w:pPr>
        <w:tabs>
          <w:tab w:val="left" w:pos="993"/>
        </w:tabs>
        <w:spacing w:after="0" w:line="240" w:lineRule="auto"/>
        <w:rPr>
          <w:rFonts w:ascii="Times New Roman" w:hAnsi="Times New Roman" w:cs="Times New Roman"/>
          <w:sz w:val="24"/>
          <w:szCs w:val="24"/>
          <w:lang w:val="id-ID"/>
        </w:rPr>
      </w:pPr>
    </w:p>
    <w:sectPr w:rsidR="00A67F58" w:rsidRPr="00F07765">
      <w:headerReference w:type="default" r:id="rId37"/>
      <w:pgSz w:w="11907" w:h="16840"/>
      <w:pgMar w:top="1701" w:right="1418" w:bottom="1418" w:left="1418" w:header="1077" w:footer="1134" w:gutter="0"/>
      <w:pgNumType w:start="2"/>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E157" w14:textId="77777777" w:rsidR="006F0E1E" w:rsidRDefault="006F0E1E">
      <w:pPr>
        <w:spacing w:line="240" w:lineRule="auto"/>
      </w:pPr>
      <w:r>
        <w:separator/>
      </w:r>
    </w:p>
  </w:endnote>
  <w:endnote w:type="continuationSeparator" w:id="0">
    <w:p w14:paraId="3FC851E1" w14:textId="77777777" w:rsidR="006F0E1E" w:rsidRDefault="006F0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9B67" w14:textId="77777777" w:rsidR="00A67F58" w:rsidRDefault="00A67F58">
    <w:pPr>
      <w:pStyle w:val="Footer"/>
    </w:pPr>
  </w:p>
  <w:p w14:paraId="39756BCA" w14:textId="09264DFF" w:rsidR="00A67F58" w:rsidRDefault="00825BC7">
    <w:pPr>
      <w:pStyle w:val="Footer"/>
      <w:rPr>
        <w:i/>
      </w:rPr>
    </w:pPr>
    <w:r>
      <w:rPr>
        <w:i/>
      </w:rPr>
      <w:t xml:space="preserve">Initial manuscript submitted to </w:t>
    </w:r>
    <w:r w:rsidR="00DC3EFC">
      <w:rPr>
        <w:i/>
      </w:rPr>
      <w:t>JCER</w:t>
    </w:r>
    <w:r w:rsidR="005500F4">
      <w:rPr>
        <w:i/>
      </w:rPr>
      <w:t>:</w:t>
    </w:r>
    <w:r w:rsidR="00DC3EFC">
      <w:rPr>
        <w:i/>
      </w:rPr>
      <w:t xml:space="preserve"> The</w:t>
    </w:r>
    <w:r w:rsidR="005500F4">
      <w:rPr>
        <w:i/>
      </w:rPr>
      <w:t xml:space="preserve"> </w:t>
    </w:r>
    <w:r>
      <w:rPr>
        <w:i/>
      </w:rPr>
      <w:t xml:space="preserve">Journal of </w:t>
    </w:r>
    <w:r w:rsidR="00DC3EFC">
      <w:rPr>
        <w:i/>
      </w:rPr>
      <w:t>Contemporary Entrepreneurship Research</w:t>
    </w: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FC619" w14:textId="77777777" w:rsidR="006F0E1E" w:rsidRDefault="006F0E1E">
      <w:pPr>
        <w:spacing w:after="0"/>
      </w:pPr>
      <w:r>
        <w:separator/>
      </w:r>
    </w:p>
  </w:footnote>
  <w:footnote w:type="continuationSeparator" w:id="0">
    <w:p w14:paraId="4A18F11F" w14:textId="77777777" w:rsidR="006F0E1E" w:rsidRDefault="006F0E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D65" w14:textId="77777777" w:rsidR="00A67F58" w:rsidRDefault="00825BC7">
    <w:pPr>
      <w:pStyle w:val="Header"/>
      <w:tabs>
        <w:tab w:val="clear" w:pos="4680"/>
        <w:tab w:val="clear" w:pos="9360"/>
        <w:tab w:val="right" w:pos="9071"/>
      </w:tabs>
      <w:rPr>
        <w:rFonts w:cstheme="minorHAnsi"/>
      </w:rPr>
    </w:pPr>
    <w:r>
      <w:rPr>
        <w:rFonts w:cstheme="minorHAnsi"/>
      </w:rPr>
      <w:t>Journal of Indonesian Economy and Business</w:t>
    </w:r>
    <w:r>
      <w:rPr>
        <w:rFonts w:cstheme="minorHAnsi"/>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064" w14:textId="5E52BA62" w:rsidR="00A67F58" w:rsidRDefault="00DC3EFC">
    <w:pPr>
      <w:pStyle w:val="Header"/>
      <w:tabs>
        <w:tab w:val="clear" w:pos="9360"/>
        <w:tab w:val="right" w:pos="9071"/>
      </w:tabs>
      <w:ind w:left="180"/>
      <w:rPr>
        <w:rFonts w:asciiTheme="majorHAnsi" w:hAnsiTheme="majorHAnsi"/>
      </w:rPr>
    </w:pPr>
    <w:r>
      <w:rPr>
        <w:rFonts w:asciiTheme="majorHAnsi" w:hAnsiTheme="majorHAnsi"/>
        <w:i/>
        <w:lang w:val="sv-SE"/>
      </w:rPr>
      <w:t>JCER</w:t>
    </w:r>
    <w:r w:rsidR="00ED544A">
      <w:rPr>
        <w:rFonts w:asciiTheme="majorHAnsi" w:hAnsiTheme="majorHAnsi"/>
        <w:i/>
        <w:lang w:val="sv-SE"/>
      </w:rPr>
      <w:t>:</w:t>
    </w:r>
    <w:r>
      <w:rPr>
        <w:rFonts w:asciiTheme="majorHAnsi" w:hAnsiTheme="majorHAnsi"/>
        <w:i/>
        <w:lang w:val="sv-SE"/>
      </w:rPr>
      <w:t xml:space="preserve"> The </w:t>
    </w:r>
    <w:r w:rsidR="00ED544A">
      <w:rPr>
        <w:rFonts w:asciiTheme="majorHAnsi" w:hAnsiTheme="majorHAnsi"/>
        <w:i/>
        <w:lang w:val="sv-SE"/>
      </w:rPr>
      <w:t xml:space="preserve"> </w:t>
    </w:r>
    <w:r w:rsidR="00825BC7">
      <w:rPr>
        <w:rFonts w:asciiTheme="majorHAnsi" w:hAnsiTheme="majorHAnsi"/>
        <w:i/>
        <w:lang w:val="sv-SE"/>
      </w:rPr>
      <w:t xml:space="preserve">Journal </w:t>
    </w:r>
    <w:r w:rsidR="00ED544A">
      <w:rPr>
        <w:rFonts w:asciiTheme="majorHAnsi" w:hAnsiTheme="majorHAnsi"/>
        <w:i/>
        <w:lang w:val="sv-SE"/>
      </w:rPr>
      <w:t xml:space="preserve">of </w:t>
    </w:r>
    <w:r>
      <w:rPr>
        <w:rFonts w:asciiTheme="majorHAnsi" w:hAnsiTheme="majorHAnsi"/>
        <w:i/>
        <w:lang w:val="sv-SE"/>
      </w:rPr>
      <w:t>Contemporary Entrepreneurhsip Research</w:t>
    </w:r>
    <w:r w:rsidR="00825BC7">
      <w:rPr>
        <w:rFonts w:asciiTheme="majorHAnsi" w:hAnsiTheme="majorHAnsi"/>
      </w:rPr>
      <w:tab/>
      <w:t xml:space="preserve"> </w:t>
    </w:r>
    <w:r w:rsidR="00825BC7">
      <w:rPr>
        <w:rFonts w:asciiTheme="majorHAnsi" w:hAnsiTheme="majorHAnsi"/>
        <w:b/>
      </w:rPr>
      <w:t>Initial manuscript submission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549F" w14:textId="4657812A" w:rsidR="00A67F58" w:rsidRDefault="00DC3EFC">
    <w:pPr>
      <w:pStyle w:val="Header"/>
      <w:tabs>
        <w:tab w:val="clear" w:pos="9360"/>
        <w:tab w:val="right" w:pos="9071"/>
      </w:tabs>
      <w:rPr>
        <w:b/>
        <w:i/>
      </w:rPr>
    </w:pPr>
    <w:r w:rsidRPr="00DC3EFC">
      <w:rPr>
        <w:rFonts w:asciiTheme="majorHAnsi" w:hAnsiTheme="majorHAnsi"/>
        <w:b/>
        <w:bCs/>
        <w:i/>
        <w:lang w:val="sv-SE"/>
      </w:rPr>
      <w:t>JCER: The  Journal of Contemporary Entrepreneurhsip Research</w:t>
    </w:r>
    <w:r w:rsidR="00825BC7">
      <w:rPr>
        <w:b/>
        <w:i/>
        <w:lang w:val="sv-SE"/>
      </w:rPr>
      <w:tab/>
    </w:r>
    <w:r w:rsidR="00825BC7">
      <w:rPr>
        <w:b/>
        <w:i/>
      </w:rPr>
      <w:fldChar w:fldCharType="begin"/>
    </w:r>
    <w:r w:rsidR="00825BC7">
      <w:rPr>
        <w:b/>
        <w:i/>
      </w:rPr>
      <w:instrText xml:space="preserve"> PAGE   \* MERGEFORMAT </w:instrText>
    </w:r>
    <w:r w:rsidR="00825BC7">
      <w:rPr>
        <w:b/>
        <w:i/>
      </w:rPr>
      <w:fldChar w:fldCharType="separate"/>
    </w:r>
    <w:r w:rsidR="0089054A">
      <w:rPr>
        <w:b/>
        <w:i/>
        <w:noProof/>
      </w:rPr>
      <w:t>6</w:t>
    </w:r>
    <w:r w:rsidR="00825BC7">
      <w:rPr>
        <w:b/>
        <w:i/>
      </w:rPr>
      <w:fldChar w:fldCharType="end"/>
    </w:r>
    <w:r w:rsidR="00825BC7">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B12AC"/>
    <w:multiLevelType w:val="hybridMultilevel"/>
    <w:tmpl w:val="E5B0191A"/>
    <w:lvl w:ilvl="0" w:tplc="0409000F">
      <w:start w:val="1"/>
      <w:numFmt w:val="decimal"/>
      <w:lvlText w:val="%1."/>
      <w:lvlJc w:val="left"/>
      <w:pPr>
        <w:ind w:left="5322" w:hanging="360"/>
      </w:p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1" w15:restartNumberingAfterBreak="0">
    <w:nsid w:val="2B691024"/>
    <w:multiLevelType w:val="multilevel"/>
    <w:tmpl w:val="2B6910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F5228C1"/>
    <w:multiLevelType w:val="hybridMultilevel"/>
    <w:tmpl w:val="EF02B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D7E3F"/>
    <w:multiLevelType w:val="multilevel"/>
    <w:tmpl w:val="5F000B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FF0057"/>
    <w:multiLevelType w:val="hybridMultilevel"/>
    <w:tmpl w:val="85E8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3B2380"/>
    <w:multiLevelType w:val="hybridMultilevel"/>
    <w:tmpl w:val="5232DA5C"/>
    <w:lvl w:ilvl="0" w:tplc="7444C83C">
      <w:start w:val="1"/>
      <w:numFmt w:val="decimal"/>
      <w:lvlText w:val="(%1)"/>
      <w:lvlJc w:val="left"/>
      <w:pPr>
        <w:ind w:left="735" w:hanging="375"/>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7495E"/>
    <w:multiLevelType w:val="hybridMultilevel"/>
    <w:tmpl w:val="6E66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E5987"/>
    <w:multiLevelType w:val="hybridMultilevel"/>
    <w:tmpl w:val="D0AC0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3C1392"/>
    <w:multiLevelType w:val="multilevel"/>
    <w:tmpl w:val="563C1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5F616A"/>
    <w:multiLevelType w:val="hybridMultilevel"/>
    <w:tmpl w:val="DE0E5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727AF6"/>
    <w:multiLevelType w:val="hybridMultilevel"/>
    <w:tmpl w:val="8550A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36A2D"/>
    <w:multiLevelType w:val="hybridMultilevel"/>
    <w:tmpl w:val="418AB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E841A6"/>
    <w:multiLevelType w:val="hybridMultilevel"/>
    <w:tmpl w:val="A1B08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B4569D9"/>
    <w:multiLevelType w:val="multilevel"/>
    <w:tmpl w:val="7B4569D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4730488">
    <w:abstractNumId w:val="13"/>
  </w:num>
  <w:num w:numId="2" w16cid:durableId="1305157208">
    <w:abstractNumId w:val="8"/>
  </w:num>
  <w:num w:numId="3" w16cid:durableId="1407998969">
    <w:abstractNumId w:val="3"/>
  </w:num>
  <w:num w:numId="4" w16cid:durableId="1819610323">
    <w:abstractNumId w:val="1"/>
  </w:num>
  <w:num w:numId="5" w16cid:durableId="1371342415">
    <w:abstractNumId w:val="6"/>
  </w:num>
  <w:num w:numId="6" w16cid:durableId="1728916214">
    <w:abstractNumId w:val="7"/>
  </w:num>
  <w:num w:numId="7" w16cid:durableId="1169827336">
    <w:abstractNumId w:val="5"/>
  </w:num>
  <w:num w:numId="8" w16cid:durableId="1035472728">
    <w:abstractNumId w:val="9"/>
  </w:num>
  <w:num w:numId="9" w16cid:durableId="2060085507">
    <w:abstractNumId w:val="11"/>
  </w:num>
  <w:num w:numId="10" w16cid:durableId="163932898">
    <w:abstractNumId w:val="0"/>
  </w:num>
  <w:num w:numId="11" w16cid:durableId="1439788313">
    <w:abstractNumId w:val="2"/>
  </w:num>
  <w:num w:numId="12" w16cid:durableId="719402750">
    <w:abstractNumId w:val="10"/>
  </w:num>
  <w:num w:numId="13" w16cid:durableId="1282767706">
    <w:abstractNumId w:val="12"/>
  </w:num>
  <w:num w:numId="14" w16cid:durableId="1212885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yMTQ2MTY2MzC0NDJS0lEKTi0uzszPAykwrAUAI2Q2PCwAAAA="/>
  </w:docVars>
  <w:rsids>
    <w:rsidRoot w:val="005650A4"/>
    <w:rsid w:val="000078C4"/>
    <w:rsid w:val="00011098"/>
    <w:rsid w:val="00025DB6"/>
    <w:rsid w:val="00063C62"/>
    <w:rsid w:val="000A42D7"/>
    <w:rsid w:val="000B2849"/>
    <w:rsid w:val="000B2A19"/>
    <w:rsid w:val="000B35C6"/>
    <w:rsid w:val="000C21B4"/>
    <w:rsid w:val="000D0F0A"/>
    <w:rsid w:val="000D749B"/>
    <w:rsid w:val="000D7C58"/>
    <w:rsid w:val="000E2B22"/>
    <w:rsid w:val="000E5900"/>
    <w:rsid w:val="000E7B92"/>
    <w:rsid w:val="0010228E"/>
    <w:rsid w:val="001030F4"/>
    <w:rsid w:val="001051DE"/>
    <w:rsid w:val="00114C46"/>
    <w:rsid w:val="00127593"/>
    <w:rsid w:val="00136424"/>
    <w:rsid w:val="00145CC5"/>
    <w:rsid w:val="00155463"/>
    <w:rsid w:val="001571C4"/>
    <w:rsid w:val="00161AFD"/>
    <w:rsid w:val="00193540"/>
    <w:rsid w:val="001972FC"/>
    <w:rsid w:val="001A68C7"/>
    <w:rsid w:val="001B70F5"/>
    <w:rsid w:val="001C0FF4"/>
    <w:rsid w:val="001C3FDB"/>
    <w:rsid w:val="001D3272"/>
    <w:rsid w:val="001E0668"/>
    <w:rsid w:val="001E6D02"/>
    <w:rsid w:val="00200744"/>
    <w:rsid w:val="002051E1"/>
    <w:rsid w:val="00216425"/>
    <w:rsid w:val="002259AD"/>
    <w:rsid w:val="002310DC"/>
    <w:rsid w:val="00231BCF"/>
    <w:rsid w:val="00277062"/>
    <w:rsid w:val="00285A43"/>
    <w:rsid w:val="002A7B2A"/>
    <w:rsid w:val="002D7413"/>
    <w:rsid w:val="002E5034"/>
    <w:rsid w:val="00301196"/>
    <w:rsid w:val="00301E29"/>
    <w:rsid w:val="003159B5"/>
    <w:rsid w:val="00320068"/>
    <w:rsid w:val="003204D6"/>
    <w:rsid w:val="003249DF"/>
    <w:rsid w:val="0036502D"/>
    <w:rsid w:val="00375867"/>
    <w:rsid w:val="003C6A87"/>
    <w:rsid w:val="003D6CC6"/>
    <w:rsid w:val="00424746"/>
    <w:rsid w:val="00437227"/>
    <w:rsid w:val="00443468"/>
    <w:rsid w:val="00447AD8"/>
    <w:rsid w:val="0045519C"/>
    <w:rsid w:val="004564C3"/>
    <w:rsid w:val="0047797E"/>
    <w:rsid w:val="0049472D"/>
    <w:rsid w:val="004963B8"/>
    <w:rsid w:val="004A17AE"/>
    <w:rsid w:val="004C0B37"/>
    <w:rsid w:val="004C2BC7"/>
    <w:rsid w:val="004C4076"/>
    <w:rsid w:val="004C537E"/>
    <w:rsid w:val="004D07E5"/>
    <w:rsid w:val="004D6876"/>
    <w:rsid w:val="004E3578"/>
    <w:rsid w:val="004F61D6"/>
    <w:rsid w:val="00501F68"/>
    <w:rsid w:val="005030F7"/>
    <w:rsid w:val="0050367E"/>
    <w:rsid w:val="0052005B"/>
    <w:rsid w:val="00523041"/>
    <w:rsid w:val="00524297"/>
    <w:rsid w:val="0053391A"/>
    <w:rsid w:val="005347CA"/>
    <w:rsid w:val="00547A52"/>
    <w:rsid w:val="005500F4"/>
    <w:rsid w:val="005543F0"/>
    <w:rsid w:val="00556B46"/>
    <w:rsid w:val="00565034"/>
    <w:rsid w:val="005650A4"/>
    <w:rsid w:val="00581264"/>
    <w:rsid w:val="005A2492"/>
    <w:rsid w:val="005A39F4"/>
    <w:rsid w:val="005D5C2F"/>
    <w:rsid w:val="005D626C"/>
    <w:rsid w:val="005E1DC5"/>
    <w:rsid w:val="005E2E8C"/>
    <w:rsid w:val="00613714"/>
    <w:rsid w:val="00617AF1"/>
    <w:rsid w:val="0063640C"/>
    <w:rsid w:val="00646626"/>
    <w:rsid w:val="00675E55"/>
    <w:rsid w:val="00676004"/>
    <w:rsid w:val="00686CC0"/>
    <w:rsid w:val="006A127A"/>
    <w:rsid w:val="006A1DDC"/>
    <w:rsid w:val="006A7CD3"/>
    <w:rsid w:val="006B0C76"/>
    <w:rsid w:val="006C389F"/>
    <w:rsid w:val="006D633A"/>
    <w:rsid w:val="006E7A51"/>
    <w:rsid w:val="006F0E1E"/>
    <w:rsid w:val="0071766A"/>
    <w:rsid w:val="00724D19"/>
    <w:rsid w:val="00735CFE"/>
    <w:rsid w:val="00736C06"/>
    <w:rsid w:val="00745412"/>
    <w:rsid w:val="00761055"/>
    <w:rsid w:val="00765098"/>
    <w:rsid w:val="007672DE"/>
    <w:rsid w:val="00784947"/>
    <w:rsid w:val="007A27E9"/>
    <w:rsid w:val="007B161C"/>
    <w:rsid w:val="007B7C03"/>
    <w:rsid w:val="007C28B9"/>
    <w:rsid w:val="007D3230"/>
    <w:rsid w:val="007D6383"/>
    <w:rsid w:val="007F3D15"/>
    <w:rsid w:val="007F3E68"/>
    <w:rsid w:val="007F4CCB"/>
    <w:rsid w:val="007F7253"/>
    <w:rsid w:val="007F76D7"/>
    <w:rsid w:val="00813B0C"/>
    <w:rsid w:val="00817C36"/>
    <w:rsid w:val="00825BC7"/>
    <w:rsid w:val="0084297E"/>
    <w:rsid w:val="00844F19"/>
    <w:rsid w:val="0089054A"/>
    <w:rsid w:val="008A3621"/>
    <w:rsid w:val="008D137C"/>
    <w:rsid w:val="008E0AE5"/>
    <w:rsid w:val="008F2153"/>
    <w:rsid w:val="009116BA"/>
    <w:rsid w:val="00912837"/>
    <w:rsid w:val="00915A5E"/>
    <w:rsid w:val="0094708D"/>
    <w:rsid w:val="00950B06"/>
    <w:rsid w:val="0095214D"/>
    <w:rsid w:val="00966762"/>
    <w:rsid w:val="00970644"/>
    <w:rsid w:val="0098222A"/>
    <w:rsid w:val="0099193E"/>
    <w:rsid w:val="009C2E65"/>
    <w:rsid w:val="009C3891"/>
    <w:rsid w:val="009F7AED"/>
    <w:rsid w:val="00A2271B"/>
    <w:rsid w:val="00A3453D"/>
    <w:rsid w:val="00A44F9A"/>
    <w:rsid w:val="00A475B4"/>
    <w:rsid w:val="00A67F58"/>
    <w:rsid w:val="00A70A1E"/>
    <w:rsid w:val="00A75746"/>
    <w:rsid w:val="00A8604C"/>
    <w:rsid w:val="00A86DD4"/>
    <w:rsid w:val="00A905D1"/>
    <w:rsid w:val="00A9250B"/>
    <w:rsid w:val="00AC538B"/>
    <w:rsid w:val="00AD3073"/>
    <w:rsid w:val="00AE1306"/>
    <w:rsid w:val="00AF6096"/>
    <w:rsid w:val="00B23872"/>
    <w:rsid w:val="00B24FA9"/>
    <w:rsid w:val="00B40987"/>
    <w:rsid w:val="00B67B0B"/>
    <w:rsid w:val="00B712B7"/>
    <w:rsid w:val="00B7756E"/>
    <w:rsid w:val="00B80FF1"/>
    <w:rsid w:val="00B830A2"/>
    <w:rsid w:val="00BB5818"/>
    <w:rsid w:val="00BD5CB6"/>
    <w:rsid w:val="00BE189B"/>
    <w:rsid w:val="00C0416C"/>
    <w:rsid w:val="00C103E5"/>
    <w:rsid w:val="00C12DFC"/>
    <w:rsid w:val="00C17760"/>
    <w:rsid w:val="00C17D0C"/>
    <w:rsid w:val="00C26FFB"/>
    <w:rsid w:val="00C31B7F"/>
    <w:rsid w:val="00C450FE"/>
    <w:rsid w:val="00C7192D"/>
    <w:rsid w:val="00C71AB1"/>
    <w:rsid w:val="00C7396C"/>
    <w:rsid w:val="00C92015"/>
    <w:rsid w:val="00CA1C6B"/>
    <w:rsid w:val="00CE2213"/>
    <w:rsid w:val="00CE6F01"/>
    <w:rsid w:val="00CE7F70"/>
    <w:rsid w:val="00CF7EC4"/>
    <w:rsid w:val="00D02753"/>
    <w:rsid w:val="00D02DBC"/>
    <w:rsid w:val="00D10B7F"/>
    <w:rsid w:val="00D173B2"/>
    <w:rsid w:val="00D34E4D"/>
    <w:rsid w:val="00D56A5F"/>
    <w:rsid w:val="00D623C7"/>
    <w:rsid w:val="00D71A70"/>
    <w:rsid w:val="00D74F25"/>
    <w:rsid w:val="00D928F4"/>
    <w:rsid w:val="00DA789E"/>
    <w:rsid w:val="00DA7AD6"/>
    <w:rsid w:val="00DC3EFC"/>
    <w:rsid w:val="00DD3E8A"/>
    <w:rsid w:val="00DD455D"/>
    <w:rsid w:val="00DF3F40"/>
    <w:rsid w:val="00E1338D"/>
    <w:rsid w:val="00E1460F"/>
    <w:rsid w:val="00E410BF"/>
    <w:rsid w:val="00E505A6"/>
    <w:rsid w:val="00E57AB9"/>
    <w:rsid w:val="00E628A0"/>
    <w:rsid w:val="00E63BD0"/>
    <w:rsid w:val="00E705B8"/>
    <w:rsid w:val="00E709A5"/>
    <w:rsid w:val="00E70EBC"/>
    <w:rsid w:val="00E75EBA"/>
    <w:rsid w:val="00E81244"/>
    <w:rsid w:val="00E84806"/>
    <w:rsid w:val="00E95657"/>
    <w:rsid w:val="00EA2986"/>
    <w:rsid w:val="00EA388A"/>
    <w:rsid w:val="00EA6BFE"/>
    <w:rsid w:val="00EC0FE8"/>
    <w:rsid w:val="00EC7FE3"/>
    <w:rsid w:val="00ED544A"/>
    <w:rsid w:val="00EE3405"/>
    <w:rsid w:val="00F03310"/>
    <w:rsid w:val="00F07765"/>
    <w:rsid w:val="00F146CE"/>
    <w:rsid w:val="00F24DF9"/>
    <w:rsid w:val="00F355EB"/>
    <w:rsid w:val="00F441FD"/>
    <w:rsid w:val="00F51116"/>
    <w:rsid w:val="00F52BDD"/>
    <w:rsid w:val="00F67B60"/>
    <w:rsid w:val="00F80500"/>
    <w:rsid w:val="00F85A24"/>
    <w:rsid w:val="00F901BC"/>
    <w:rsid w:val="00F97FF3"/>
    <w:rsid w:val="00FA3B3C"/>
    <w:rsid w:val="00FC5B7E"/>
    <w:rsid w:val="00FD60D2"/>
    <w:rsid w:val="00FE051A"/>
    <w:rsid w:val="00FE0778"/>
    <w:rsid w:val="00FF3DFD"/>
    <w:rsid w:val="2C8FD808"/>
    <w:rsid w:val="3DBFC16A"/>
    <w:rsid w:val="4EFFC72C"/>
    <w:rsid w:val="73FF4E0D"/>
    <w:rsid w:val="7F3B593B"/>
    <w:rsid w:val="ED3F0F0C"/>
    <w:rsid w:val="F7E75899"/>
    <w:rsid w:val="F93F5A64"/>
    <w:rsid w:val="FBEBE8A2"/>
    <w:rsid w:val="FBFBA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35AC5D"/>
  <w15:docId w15:val="{05398A4E-1274-4A6F-A7B5-1CE899B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tract">
    <w:name w:val="Abstract"/>
    <w:pPr>
      <w:spacing w:after="200"/>
      <w:ind w:left="2160"/>
      <w:jc w:val="both"/>
    </w:pPr>
    <w:rPr>
      <w:rFonts w:ascii="Times New Roman" w:eastAsia="SimSun" w:hAnsi="Times New Roman" w:cs="Times New Roman"/>
      <w:b/>
      <w:bCs/>
      <w:sz w:val="18"/>
      <w:szCs w:val="18"/>
      <w:lang w:bidi="en-US"/>
    </w:rPr>
  </w:style>
  <w:style w:type="paragraph" w:customStyle="1" w:styleId="Author">
    <w:name w:val="Author"/>
    <w:pPr>
      <w:spacing w:before="360" w:after="40"/>
      <w:ind w:left="2160"/>
      <w:jc w:val="center"/>
    </w:pPr>
    <w:rPr>
      <w:rFonts w:ascii="Times New Roman" w:eastAsia="SimSun" w:hAnsi="Times New Roman" w:cs="Times New Roman"/>
      <w:lang w:bidi="en-US"/>
    </w:rPr>
  </w:style>
  <w:style w:type="paragraph" w:customStyle="1" w:styleId="keywords">
    <w:name w:val="key words"/>
    <w:pPr>
      <w:spacing w:after="120"/>
      <w:ind w:left="2160" w:firstLine="288"/>
      <w:jc w:val="both"/>
    </w:pPr>
    <w:rPr>
      <w:rFonts w:ascii="Times New Roman" w:eastAsia="SimSun" w:hAnsi="Times New Roman" w:cs="Times New Roman"/>
      <w:b/>
      <w:bCs/>
      <w:i/>
      <w:iCs/>
      <w:sz w:val="18"/>
      <w:szCs w:val="18"/>
      <w:lang w:bidi="en-US"/>
    </w:rPr>
  </w:style>
  <w:style w:type="paragraph" w:customStyle="1" w:styleId="papertitle">
    <w:name w:val="paper title"/>
    <w:pPr>
      <w:spacing w:after="120"/>
      <w:ind w:left="2160"/>
      <w:jc w:val="center"/>
    </w:pPr>
    <w:rPr>
      <w:rFonts w:ascii="Times New Roman" w:eastAsia="MS Mincho" w:hAnsi="Times New Roman" w:cs="Times New Roman"/>
      <w:sz w:val="48"/>
      <w:szCs w:val="48"/>
      <w:lang w:bidi="en-US"/>
    </w:rPr>
  </w:style>
  <w:style w:type="character" w:styleId="FollowedHyperlink">
    <w:name w:val="FollowedHyperlink"/>
    <w:basedOn w:val="DefaultParagraphFont"/>
    <w:uiPriority w:val="99"/>
    <w:semiHidden/>
    <w:unhideWhenUsed/>
    <w:rsid w:val="00ED544A"/>
    <w:rPr>
      <w:color w:val="954F72" w:themeColor="followedHyperlink"/>
      <w:u w:val="single"/>
    </w:rPr>
  </w:style>
  <w:style w:type="character" w:styleId="UnresolvedMention">
    <w:name w:val="Unresolved Mention"/>
    <w:basedOn w:val="DefaultParagraphFont"/>
    <w:uiPriority w:val="99"/>
    <w:semiHidden/>
    <w:unhideWhenUsed/>
    <w:rsid w:val="00ED544A"/>
    <w:rPr>
      <w:color w:val="605E5C"/>
      <w:shd w:val="clear" w:color="auto" w:fill="E1DFDD"/>
    </w:rPr>
  </w:style>
  <w:style w:type="paragraph" w:customStyle="1" w:styleId="ANAMETN">
    <w:name w:val="ANA METİN"/>
    <w:basedOn w:val="Normal"/>
    <w:uiPriority w:val="99"/>
    <w:rsid w:val="0099193E"/>
    <w:pPr>
      <w:suppressAutoHyphens/>
      <w:autoSpaceDE w:val="0"/>
      <w:autoSpaceDN w:val="0"/>
      <w:adjustRightInd w:val="0"/>
      <w:spacing w:after="85" w:line="288" w:lineRule="auto"/>
      <w:jc w:val="both"/>
      <w:textAlignment w:val="center"/>
    </w:pPr>
    <w:rPr>
      <w:rFonts w:ascii="Adobe Garamond Pro" w:eastAsia="Times New Roman" w:hAnsi="Adobe Garamond Pro" w:cs="Adobe Garamond Pro"/>
      <w:color w:val="000000"/>
      <w:lang w:eastAsia="tr-TR"/>
    </w:rPr>
  </w:style>
  <w:style w:type="character" w:customStyle="1" w:styleId="citation-32">
    <w:name w:val="citation-32"/>
    <w:basedOn w:val="DefaultParagraphFont"/>
    <w:rsid w:val="00A9250B"/>
  </w:style>
  <w:style w:type="character" w:customStyle="1" w:styleId="citation-30">
    <w:name w:val="citation-30"/>
    <w:basedOn w:val="DefaultParagraphFont"/>
    <w:rsid w:val="00F52BDD"/>
  </w:style>
  <w:style w:type="character" w:customStyle="1" w:styleId="citation-29">
    <w:name w:val="citation-29"/>
    <w:basedOn w:val="DefaultParagraphFont"/>
    <w:rsid w:val="00C17D0C"/>
  </w:style>
  <w:style w:type="character" w:customStyle="1" w:styleId="citation-28">
    <w:name w:val="citation-28"/>
    <w:basedOn w:val="DefaultParagraphFont"/>
    <w:rsid w:val="00C17D0C"/>
  </w:style>
  <w:style w:type="character" w:customStyle="1" w:styleId="math-inline">
    <w:name w:val="math-inline"/>
    <w:basedOn w:val="DefaultParagraphFont"/>
    <w:rsid w:val="00C17D0C"/>
  </w:style>
  <w:style w:type="character" w:customStyle="1" w:styleId="citation-27">
    <w:name w:val="citation-27"/>
    <w:basedOn w:val="DefaultParagraphFont"/>
    <w:rsid w:val="00C17D0C"/>
  </w:style>
  <w:style w:type="character" w:customStyle="1" w:styleId="citation-26">
    <w:name w:val="citation-26"/>
    <w:basedOn w:val="DefaultParagraphFont"/>
    <w:rsid w:val="009116BA"/>
  </w:style>
  <w:style w:type="character" w:customStyle="1" w:styleId="citation-81">
    <w:name w:val="citation-81"/>
    <w:basedOn w:val="DefaultParagraphFont"/>
    <w:rsid w:val="003D6CC6"/>
  </w:style>
  <w:style w:type="character" w:customStyle="1" w:styleId="citation-80">
    <w:name w:val="citation-80"/>
    <w:basedOn w:val="DefaultParagraphFont"/>
    <w:rsid w:val="003D6CC6"/>
  </w:style>
  <w:style w:type="character" w:customStyle="1" w:styleId="citation-79">
    <w:name w:val="citation-79"/>
    <w:basedOn w:val="DefaultParagraphFont"/>
    <w:rsid w:val="003D6CC6"/>
  </w:style>
  <w:style w:type="character" w:customStyle="1" w:styleId="citation-78">
    <w:name w:val="citation-78"/>
    <w:basedOn w:val="DefaultParagraphFont"/>
    <w:rsid w:val="00F24DF9"/>
  </w:style>
  <w:style w:type="character" w:customStyle="1" w:styleId="citation-77">
    <w:name w:val="citation-77"/>
    <w:basedOn w:val="DefaultParagraphFont"/>
    <w:rsid w:val="00F24DF9"/>
  </w:style>
  <w:style w:type="character" w:customStyle="1" w:styleId="citation-76">
    <w:name w:val="citation-76"/>
    <w:basedOn w:val="DefaultParagraphFont"/>
    <w:rsid w:val="00F24DF9"/>
  </w:style>
  <w:style w:type="character" w:customStyle="1" w:styleId="citation-75">
    <w:name w:val="citation-75"/>
    <w:basedOn w:val="DefaultParagraphFont"/>
    <w:rsid w:val="00F24DF9"/>
  </w:style>
  <w:style w:type="character" w:customStyle="1" w:styleId="citation-74">
    <w:name w:val="citation-74"/>
    <w:basedOn w:val="DefaultParagraphFont"/>
    <w:rsid w:val="00F24DF9"/>
  </w:style>
  <w:style w:type="character" w:styleId="Strong">
    <w:name w:val="Strong"/>
    <w:basedOn w:val="DefaultParagraphFont"/>
    <w:uiPriority w:val="22"/>
    <w:qFormat/>
    <w:rsid w:val="008D137C"/>
    <w:rPr>
      <w:b/>
      <w:bCs/>
    </w:rPr>
  </w:style>
  <w:style w:type="paragraph" w:customStyle="1" w:styleId="Compact">
    <w:name w:val="Compact"/>
    <w:basedOn w:val="BodyText"/>
    <w:qFormat/>
    <w:rsid w:val="00A2271B"/>
    <w:pPr>
      <w:spacing w:before="36" w:after="36" w:line="240" w:lineRule="auto"/>
    </w:pPr>
    <w:rPr>
      <w:sz w:val="24"/>
      <w:szCs w:val="24"/>
    </w:rPr>
  </w:style>
  <w:style w:type="paragraph" w:styleId="BodyText">
    <w:name w:val="Body Text"/>
    <w:basedOn w:val="Normal"/>
    <w:link w:val="BodyTextChar"/>
    <w:uiPriority w:val="99"/>
    <w:semiHidden/>
    <w:unhideWhenUsed/>
    <w:rsid w:val="00A2271B"/>
    <w:pPr>
      <w:spacing w:after="120"/>
    </w:pPr>
  </w:style>
  <w:style w:type="character" w:customStyle="1" w:styleId="BodyTextChar">
    <w:name w:val="Body Text Char"/>
    <w:basedOn w:val="DefaultParagraphFont"/>
    <w:link w:val="BodyText"/>
    <w:uiPriority w:val="99"/>
    <w:semiHidden/>
    <w:rsid w:val="00A2271B"/>
    <w:rPr>
      <w:sz w:val="22"/>
      <w:szCs w:val="22"/>
    </w:rPr>
  </w:style>
  <w:style w:type="character" w:styleId="Emphasis">
    <w:name w:val="Emphasis"/>
    <w:basedOn w:val="DefaultParagraphFont"/>
    <w:uiPriority w:val="20"/>
    <w:qFormat/>
    <w:rsid w:val="004564C3"/>
    <w:rPr>
      <w:i/>
      <w:iCs/>
    </w:rPr>
  </w:style>
  <w:style w:type="character" w:styleId="CommentReference">
    <w:name w:val="annotation reference"/>
    <w:basedOn w:val="DefaultParagraphFont"/>
    <w:uiPriority w:val="99"/>
    <w:semiHidden/>
    <w:unhideWhenUsed/>
    <w:rsid w:val="00915A5E"/>
    <w:rPr>
      <w:sz w:val="16"/>
      <w:szCs w:val="16"/>
    </w:rPr>
  </w:style>
  <w:style w:type="paragraph" w:styleId="CommentText">
    <w:name w:val="annotation text"/>
    <w:basedOn w:val="Normal"/>
    <w:link w:val="CommentTextChar"/>
    <w:uiPriority w:val="99"/>
    <w:unhideWhenUsed/>
    <w:rsid w:val="00915A5E"/>
    <w:pPr>
      <w:spacing w:line="240" w:lineRule="auto"/>
    </w:pPr>
    <w:rPr>
      <w:sz w:val="20"/>
      <w:szCs w:val="20"/>
    </w:rPr>
  </w:style>
  <w:style w:type="character" w:customStyle="1" w:styleId="CommentTextChar">
    <w:name w:val="Comment Text Char"/>
    <w:basedOn w:val="DefaultParagraphFont"/>
    <w:link w:val="CommentText"/>
    <w:uiPriority w:val="99"/>
    <w:rsid w:val="00915A5E"/>
  </w:style>
  <w:style w:type="paragraph" w:styleId="CommentSubject">
    <w:name w:val="annotation subject"/>
    <w:basedOn w:val="CommentText"/>
    <w:next w:val="CommentText"/>
    <w:link w:val="CommentSubjectChar"/>
    <w:uiPriority w:val="99"/>
    <w:semiHidden/>
    <w:unhideWhenUsed/>
    <w:rsid w:val="00915A5E"/>
    <w:rPr>
      <w:b/>
      <w:bCs/>
    </w:rPr>
  </w:style>
  <w:style w:type="character" w:customStyle="1" w:styleId="CommentSubjectChar">
    <w:name w:val="Comment Subject Char"/>
    <w:basedOn w:val="CommentTextChar"/>
    <w:link w:val="CommentSubject"/>
    <w:uiPriority w:val="99"/>
    <w:semiHidden/>
    <w:rsid w:val="00915A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6/j.resourpol.2023.103756" TargetMode="External"/><Relationship Id="rId18" Type="http://schemas.openxmlformats.org/officeDocument/2006/relationships/hyperlink" Target="https://www.google.com/search?q=https://doi.org/10.55927/fjst.v3i1.7925" TargetMode="External"/><Relationship Id="rId26" Type="http://schemas.openxmlformats.org/officeDocument/2006/relationships/hyperlink" Target="https://www.google.com/search?q=https://doi.org/10.24294/jipd.v7i2.2154" TargetMode="External"/><Relationship Id="rId39" Type="http://schemas.openxmlformats.org/officeDocument/2006/relationships/theme" Target="theme/theme1.xml"/><Relationship Id="rId21" Type="http://schemas.openxmlformats.org/officeDocument/2006/relationships/hyperlink" Target="https://www.google.com/search?q=https://doi.org/10.1016/j.gexplo.2012.01.004" TargetMode="External"/><Relationship Id="rId34" Type="http://schemas.openxmlformats.org/officeDocument/2006/relationships/hyperlink" Target="https://www.google.com/search?q=https://doi.org/10.3860/jesam.v13i2.1711" TargetMode="External"/><Relationship Id="rId7" Type="http://schemas.openxmlformats.org/officeDocument/2006/relationships/footnotes" Target="footnotes.xml"/><Relationship Id="rId12" Type="http://schemas.openxmlformats.org/officeDocument/2006/relationships/hyperlink" Target="https://www.google.com/search?q=https://scispace.com/papers/distribution-and-transport-of-contaminants-in-soil-through-1ynyx9wxni" TargetMode="External"/><Relationship Id="rId17" Type="http://schemas.openxmlformats.org/officeDocument/2006/relationships/hyperlink" Target="https://www.google.com/search?q=https://doi.org/10.19166/verity.v15i2.7661" TargetMode="External"/><Relationship Id="rId25" Type="http://schemas.openxmlformats.org/officeDocument/2006/relationships/hyperlink" Target="https://www.google.com/search?q=https://doi.org/10.21107/sml.v7i1.23842" TargetMode="External"/><Relationship Id="rId33" Type="http://schemas.openxmlformats.org/officeDocument/2006/relationships/hyperlink" Target="https://doi.org/10.1016/j.heliyon.2020.e0405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ogle.com/search?q=https://doi.org/10.21107/sml.v7i1.23842" TargetMode="External"/><Relationship Id="rId20" Type="http://schemas.openxmlformats.org/officeDocument/2006/relationships/hyperlink" Target="https://journal.ipb.ac.id/" TargetMode="External"/><Relationship Id="rId29" Type="http://schemas.openxmlformats.org/officeDocument/2006/relationships/hyperlink" Target="https://www.google.com/search?q=https://doi.org/10.33019/society.v10i1.4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google.com/search?q=https://doi.org/10.13057/nusbiosci/n120108" TargetMode="External"/><Relationship Id="rId32" Type="http://schemas.openxmlformats.org/officeDocument/2006/relationships/hyperlink" Target="https://www.google.com/search?q=https://doi.org/10.30525/2256-0742/2020-6-3-63-69" TargetMode="External"/><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google.com/search?q=https://doi.org/10.31103/mms.v1i1.157" TargetMode="External"/><Relationship Id="rId23" Type="http://schemas.openxmlformats.org/officeDocument/2006/relationships/hyperlink" Target="https://www.google.com/search?q=https://doi.org/10.26623/jic.v7i2.4632" TargetMode="External"/><Relationship Id="rId28" Type="http://schemas.openxmlformats.org/officeDocument/2006/relationships/hyperlink" Target="https://www.google.com/search?q=https://doi.org/10.7160/edelweiss.v8i1.123" TargetMode="External"/><Relationship Id="rId36" Type="http://schemas.openxmlformats.org/officeDocument/2006/relationships/hyperlink" Target="https://www.google.com/search?q=https://doi.org/10.24135/pjr.v18i2.296" TargetMode="External"/><Relationship Id="rId10" Type="http://schemas.openxmlformats.org/officeDocument/2006/relationships/header" Target="header2.xml"/><Relationship Id="rId19" Type="http://schemas.openxmlformats.org/officeDocument/2006/relationships/hyperlink" Target="https://www.google.com/search?q=https://doi.org/10.33506/js.v13i1.3102" TargetMode="External"/><Relationship Id="rId31" Type="http://schemas.openxmlformats.org/officeDocument/2006/relationships/hyperlink" Target="https://www.google.com/search?q=https://doi.org/10.29303/jppipa.v9i11.5173"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ogle.com/search?q=https://doi.org/10.21512/humaniora.v7i1.3414" TargetMode="External"/><Relationship Id="rId22" Type="http://schemas.openxmlformats.org/officeDocument/2006/relationships/hyperlink" Target="https://www.google.com/search?q=https://doi.org/10.1504/IJEWM.2022.122858" TargetMode="External"/><Relationship Id="rId27" Type="http://schemas.openxmlformats.org/officeDocument/2006/relationships/hyperlink" Target="https://doi.org/10.1504/ijmme.2024.10063420" TargetMode="External"/><Relationship Id="rId30" Type="http://schemas.openxmlformats.org/officeDocument/2006/relationships/hyperlink" Target="https://www.google.com/search?q=https://openresearch-repository.anu.edu.au/handle/1885/219212" TargetMode="External"/><Relationship Id="rId35" Type="http://schemas.openxmlformats.org/officeDocument/2006/relationships/hyperlink" Target="https://doi.org/10.1016/j.apgeochem.2011.03.111"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DE0D339-E3BC-4359-B523-BFA95A921A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4900</Words>
  <Characters>27933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NXKEXSN00630106F882N00@hotmail.com</cp:lastModifiedBy>
  <cp:revision>8</cp:revision>
  <cp:lastPrinted>2018-10-25T11:37:00Z</cp:lastPrinted>
  <dcterms:created xsi:type="dcterms:W3CDTF">2026-01-23T05:23:00Z</dcterms:created>
  <dcterms:modified xsi:type="dcterms:W3CDTF">2026-07-23T15:14:00Z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ies>
</file>