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75"/>
      </w:tblGrid>
      <w:tr w:rsidR="00A67F58" w14:paraId="25102043" w14:textId="77777777">
        <w:tc>
          <w:tcPr>
            <w:tcW w:w="9175" w:type="dxa"/>
          </w:tcPr>
          <w:p w14:paraId="1844DE48" w14:textId="6A98FC72" w:rsidR="00A67F58" w:rsidRPr="006D633A" w:rsidRDefault="008E2F8A">
            <w:pPr>
              <w:pStyle w:val="papertitle"/>
              <w:spacing w:after="0"/>
              <w:ind w:left="0"/>
              <w:jc w:val="left"/>
              <w:rPr>
                <w:rFonts w:ascii="Arial" w:hAnsi="Arial" w:cs="Arial"/>
                <w:b/>
                <w:sz w:val="40"/>
                <w:szCs w:val="40"/>
                <w:lang w:val="sv-SE"/>
              </w:rPr>
            </w:pPr>
            <w:r w:rsidRPr="008E2F8A">
              <w:rPr>
                <w:rFonts w:ascii="Arial" w:hAnsi="Arial" w:cs="Arial"/>
                <w:b/>
                <w:color w:val="2E74B5" w:themeColor="accent1" w:themeShade="BF"/>
                <w:sz w:val="40"/>
                <w:szCs w:val="40"/>
              </w:rPr>
              <w:t>The Determination of Digital Service Quality and Customer Satisfaction on Service User Loyalty</w:t>
            </w:r>
          </w:p>
        </w:tc>
      </w:tr>
      <w:tr w:rsidR="00A67F58" w14:paraId="7080B227" w14:textId="77777777">
        <w:tc>
          <w:tcPr>
            <w:tcW w:w="9175" w:type="dxa"/>
          </w:tcPr>
          <w:p w14:paraId="5FDE5C1D" w14:textId="309E49CE" w:rsidR="00A67F58" w:rsidRDefault="00A67F58">
            <w:pPr>
              <w:pStyle w:val="Author"/>
              <w:spacing w:before="0" w:after="0"/>
              <w:ind w:left="0"/>
              <w:jc w:val="left"/>
              <w:rPr>
                <w:rFonts w:asciiTheme="minorHAnsi" w:hAnsiTheme="minorHAnsi" w:cstheme="minorHAnsi"/>
                <w:sz w:val="18"/>
                <w:szCs w:val="18"/>
              </w:rPr>
            </w:pPr>
          </w:p>
        </w:tc>
      </w:tr>
    </w:tbl>
    <w:p w14:paraId="143F7868" w14:textId="77777777" w:rsidR="00A67F58" w:rsidRDefault="00A67F58">
      <w:pPr>
        <w:pStyle w:val="Author"/>
        <w:spacing w:before="0" w:after="0"/>
        <w:ind w:left="0"/>
        <w:jc w:val="left"/>
        <w:rPr>
          <w:rFonts w:asciiTheme="minorHAnsi" w:hAnsiTheme="minorHAnsi" w:cstheme="minorHAnsi"/>
          <w:sz w:val="22"/>
          <w:szCs w:val="22"/>
        </w:rPr>
      </w:pPr>
    </w:p>
    <w:p w14:paraId="61FAF962" w14:textId="77777777" w:rsidR="00A67F58" w:rsidRDefault="00A67F58">
      <w:pPr>
        <w:pStyle w:val="Author"/>
        <w:spacing w:before="0" w:after="0"/>
        <w:ind w:left="0"/>
        <w:jc w:val="left"/>
        <w:rPr>
          <w:rFonts w:asciiTheme="minorHAnsi" w:hAnsiTheme="minorHAnsi" w:cstheme="minorHAnsi"/>
          <w:sz w:val="22"/>
          <w:szCs w:val="22"/>
        </w:rPr>
      </w:pPr>
    </w:p>
    <w:tbl>
      <w:tblPr>
        <w:tblStyle w:val="TableGrid"/>
        <w:tblW w:w="9198"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6408"/>
        <w:gridCol w:w="540"/>
        <w:gridCol w:w="2250"/>
      </w:tblGrid>
      <w:tr w:rsidR="00A67F58" w14:paraId="5E598844" w14:textId="77777777">
        <w:tc>
          <w:tcPr>
            <w:tcW w:w="6408" w:type="dxa"/>
          </w:tcPr>
          <w:p w14:paraId="743E0901" w14:textId="77777777" w:rsidR="00A67F58" w:rsidRPr="00DC3EFC" w:rsidRDefault="00825BC7">
            <w:pPr>
              <w:pStyle w:val="Abstract"/>
              <w:spacing w:before="240" w:after="240"/>
              <w:ind w:left="0"/>
              <w:jc w:val="left"/>
              <w:rPr>
                <w:rFonts w:ascii="Arial" w:hAnsi="Arial" w:cs="Arial"/>
                <w:bCs w:val="0"/>
                <w:iCs/>
                <w:color w:val="2E74B5" w:themeColor="accent1" w:themeShade="BF"/>
                <w:sz w:val="22"/>
                <w:szCs w:val="22"/>
              </w:rPr>
            </w:pPr>
            <w:r w:rsidRPr="00DC3EFC">
              <w:rPr>
                <w:rFonts w:ascii="Arial" w:hAnsi="Arial" w:cs="Arial"/>
                <w:bCs w:val="0"/>
                <w:iCs/>
                <w:color w:val="2E74B5" w:themeColor="accent1" w:themeShade="BF"/>
                <w:sz w:val="22"/>
                <w:szCs w:val="22"/>
              </w:rPr>
              <w:t>ABSTRACT</w:t>
            </w:r>
          </w:p>
        </w:tc>
        <w:tc>
          <w:tcPr>
            <w:tcW w:w="540" w:type="dxa"/>
            <w:tcBorders>
              <w:bottom w:val="nil"/>
            </w:tcBorders>
          </w:tcPr>
          <w:p w14:paraId="0AEC547E" w14:textId="77777777" w:rsidR="00A67F58" w:rsidRDefault="00A67F58">
            <w:pPr>
              <w:pStyle w:val="Author"/>
              <w:spacing w:before="240" w:after="240"/>
              <w:ind w:left="0"/>
              <w:rPr>
                <w:rFonts w:asciiTheme="minorHAnsi" w:hAnsiTheme="minorHAnsi" w:cstheme="minorHAnsi"/>
                <w:sz w:val="22"/>
                <w:szCs w:val="22"/>
              </w:rPr>
            </w:pPr>
          </w:p>
        </w:tc>
        <w:tc>
          <w:tcPr>
            <w:tcW w:w="2250" w:type="dxa"/>
          </w:tcPr>
          <w:p w14:paraId="27721342" w14:textId="77777777" w:rsidR="00A67F58" w:rsidRPr="00DC3EFC" w:rsidRDefault="00825BC7">
            <w:pPr>
              <w:pStyle w:val="Author"/>
              <w:spacing w:before="240" w:after="240"/>
              <w:ind w:left="0"/>
              <w:jc w:val="left"/>
              <w:rPr>
                <w:rFonts w:ascii="Arial" w:hAnsi="Arial" w:cs="Arial"/>
                <w:b/>
                <w:bCs/>
                <w:color w:val="2E74B5" w:themeColor="accent1" w:themeShade="BF"/>
                <w:sz w:val="22"/>
                <w:szCs w:val="22"/>
              </w:rPr>
            </w:pPr>
            <w:r w:rsidRPr="00DC3EFC">
              <w:rPr>
                <w:rFonts w:ascii="Arial" w:hAnsi="Arial" w:cs="Arial"/>
                <w:b/>
                <w:bCs/>
                <w:color w:val="2E74B5" w:themeColor="accent1" w:themeShade="BF"/>
                <w:sz w:val="22"/>
                <w:szCs w:val="22"/>
              </w:rPr>
              <w:t>ARTICLE INFO</w:t>
            </w:r>
          </w:p>
        </w:tc>
      </w:tr>
      <w:tr w:rsidR="00A67F58" w14:paraId="0F9B7F7B" w14:textId="77777777">
        <w:tc>
          <w:tcPr>
            <w:tcW w:w="6408" w:type="dxa"/>
          </w:tcPr>
          <w:p w14:paraId="099654B4" w14:textId="77777777" w:rsidR="0089055F" w:rsidRDefault="0089055F" w:rsidP="0089055F">
            <w:pPr>
              <w:spacing w:line="278" w:lineRule="auto"/>
              <w:jc w:val="both"/>
              <w:rPr>
                <w:rFonts w:ascii="Adobe Garamond Pro" w:hAnsi="Adobe Garamond Pro"/>
                <w:b/>
                <w:bCs/>
                <w:lang w:val="en"/>
              </w:rPr>
            </w:pPr>
          </w:p>
          <w:p w14:paraId="685E1833" w14:textId="7A9D8F7B" w:rsidR="0089055F" w:rsidRPr="00815158" w:rsidRDefault="0089055F" w:rsidP="0089055F">
            <w:pPr>
              <w:spacing w:line="278" w:lineRule="auto"/>
              <w:jc w:val="both"/>
              <w:rPr>
                <w:rFonts w:ascii="Adobe Garamond Pro" w:hAnsi="Adobe Garamond Pro"/>
                <w:lang w:val="en"/>
              </w:rPr>
            </w:pPr>
            <w:r w:rsidRPr="00815158">
              <w:rPr>
                <w:rFonts w:ascii="Adobe Garamond Pro" w:hAnsi="Adobe Garamond Pro"/>
                <w:b/>
                <w:bCs/>
                <w:lang w:val="en"/>
              </w:rPr>
              <w:t>Introduction/Main Objectives:</w:t>
            </w:r>
            <w:r w:rsidRPr="00815158">
              <w:rPr>
                <w:rFonts w:ascii="Adobe Garamond Pro" w:hAnsi="Adobe Garamond Pro"/>
                <w:lang w:val="en"/>
              </w:rPr>
              <w:t xml:space="preserve"> This study examines user loyalty within the rapidly growing digital entertainment industry in Medan City, specifically regarding the Cinema XXI online ticket reservation service. </w:t>
            </w:r>
            <w:r w:rsidRPr="00815158">
              <w:rPr>
                <w:rFonts w:ascii="Adobe Garamond Pro" w:hAnsi="Adobe Garamond Pro"/>
                <w:b/>
                <w:bCs/>
                <w:lang w:val="en"/>
              </w:rPr>
              <w:t>Background Problems:</w:t>
            </w:r>
            <w:r w:rsidRPr="00815158">
              <w:rPr>
                <w:rFonts w:ascii="Adobe Garamond Pro" w:hAnsi="Adobe Garamond Pro"/>
                <w:lang w:val="en"/>
              </w:rPr>
              <w:t xml:space="preserve"> Operational and technical constraints such as short payment windows and the absence of self-service rescheduling features raise the question of how customer satisfaction and digital service quality influence user loyalty for Cinema XXI Medan, both individually and simultaneously. </w:t>
            </w:r>
            <w:r w:rsidRPr="00815158">
              <w:rPr>
                <w:rFonts w:ascii="Adobe Garamond Pro" w:hAnsi="Adobe Garamond Pro"/>
                <w:b/>
                <w:bCs/>
                <w:lang w:val="en"/>
              </w:rPr>
              <w:t>Novelty:</w:t>
            </w:r>
            <w:r w:rsidRPr="00815158">
              <w:rPr>
                <w:rFonts w:ascii="Adobe Garamond Pro" w:hAnsi="Adobe Garamond Pro"/>
                <w:lang w:val="en"/>
              </w:rPr>
              <w:t xml:space="preserve"> The study’s novelty lies in demonstrating the satisfaction-loyalty relationship paradox within the context of an Online-to-Offline (O2O) entertainment reservation platform in a developing metropolitan market an area where previous research has insufficiently examined the empirical impact of application system technicalities. </w:t>
            </w:r>
            <w:r w:rsidRPr="00815158">
              <w:rPr>
                <w:rFonts w:ascii="Adobe Garamond Pro" w:hAnsi="Adobe Garamond Pro"/>
                <w:b/>
                <w:bCs/>
                <w:lang w:val="en"/>
              </w:rPr>
              <w:t>Research Methods:</w:t>
            </w:r>
            <w:r w:rsidRPr="00815158">
              <w:rPr>
                <w:rFonts w:ascii="Adobe Garamond Pro" w:hAnsi="Adobe Garamond Pro"/>
                <w:lang w:val="en"/>
              </w:rPr>
              <w:t xml:space="preserve"> A quantitative, causal-associative method was employed, gathering primary data via structured questionnaires from 100 users of the XXI digital application in Medan, selected using accidental sampling. Data were analyzed using multiple linear regression following successful classical assumption, validity, and reliability testing. </w:t>
            </w:r>
            <w:r w:rsidRPr="00815158">
              <w:rPr>
                <w:rFonts w:ascii="Adobe Garamond Pro" w:hAnsi="Adobe Garamond Pro"/>
                <w:b/>
                <w:bCs/>
                <w:lang w:val="en"/>
              </w:rPr>
              <w:t>Findings/Results:</w:t>
            </w:r>
            <w:r w:rsidRPr="00815158">
              <w:rPr>
                <w:rFonts w:ascii="Adobe Garamond Pro" w:hAnsi="Adobe Garamond Pro"/>
                <w:lang w:val="en"/>
              </w:rPr>
              <w:t xml:space="preserve"> Empirical results show that customer satisfaction does not have a significant partial effect (t=1.462; p=0.147), whereas digital service quality has a positive and significant partial effect (t=4.212; p=0.000) on user loyalty; the simultaneous effect of both variables is 26.4% (F=17.414; p=0.000). </w:t>
            </w:r>
            <w:r w:rsidRPr="00815158">
              <w:rPr>
                <w:rFonts w:ascii="Adobe Garamond Pro" w:hAnsi="Adobe Garamond Pro"/>
                <w:b/>
                <w:bCs/>
                <w:lang w:val="en"/>
              </w:rPr>
              <w:t>Conclusion:</w:t>
            </w:r>
            <w:r w:rsidRPr="00815158">
              <w:rPr>
                <w:rFonts w:ascii="Adobe Garamond Pro" w:hAnsi="Adobe Garamond Pro"/>
                <w:lang w:val="en"/>
              </w:rPr>
              <w:t xml:space="preserve"> post-viewing transactional satisfaction does not automatically guarantee consumer retention without reliable digital infrastructure performance. The study’s practical implications and key message emphasize that management must prioritize enhancing server reliability, ticket cancellation flexibility, and payment deadlines to strengthen customer loyalty.</w:t>
            </w:r>
          </w:p>
          <w:p w14:paraId="0708A9A2" w14:textId="77777777" w:rsidR="00A67F58" w:rsidRDefault="00A67F58">
            <w:pPr>
              <w:pStyle w:val="Author"/>
              <w:spacing w:before="0" w:after="0"/>
              <w:ind w:left="0"/>
              <w:rPr>
                <w:rFonts w:asciiTheme="minorHAnsi" w:hAnsiTheme="minorHAnsi" w:cstheme="minorHAnsi"/>
                <w:sz w:val="22"/>
                <w:szCs w:val="22"/>
              </w:rPr>
            </w:pPr>
          </w:p>
        </w:tc>
        <w:tc>
          <w:tcPr>
            <w:tcW w:w="540" w:type="dxa"/>
            <w:tcBorders>
              <w:top w:val="nil"/>
              <w:bottom w:val="nil"/>
            </w:tcBorders>
          </w:tcPr>
          <w:p w14:paraId="72605E6D" w14:textId="77777777" w:rsidR="00A67F58" w:rsidRDefault="00A67F58">
            <w:pPr>
              <w:pStyle w:val="Author"/>
              <w:spacing w:before="0" w:after="0"/>
              <w:ind w:left="0"/>
              <w:jc w:val="left"/>
              <w:rPr>
                <w:rFonts w:asciiTheme="minorHAnsi" w:hAnsiTheme="minorHAnsi" w:cstheme="minorHAnsi"/>
                <w:sz w:val="22"/>
                <w:szCs w:val="22"/>
              </w:rPr>
            </w:pPr>
          </w:p>
        </w:tc>
        <w:tc>
          <w:tcPr>
            <w:tcW w:w="2250" w:type="dxa"/>
          </w:tcPr>
          <w:p w14:paraId="76136CBD" w14:textId="77777777" w:rsidR="00A67F58" w:rsidRPr="007672DE" w:rsidRDefault="00825BC7">
            <w:pPr>
              <w:pStyle w:val="keywords"/>
              <w:tabs>
                <w:tab w:val="left" w:pos="1530"/>
              </w:tabs>
              <w:spacing w:before="240" w:after="0"/>
              <w:ind w:left="0" w:firstLine="0"/>
              <w:jc w:val="left"/>
              <w:rPr>
                <w:rFonts w:ascii="Adobe Garamond Pro" w:hAnsi="Adobe Garamond Pro" w:cstheme="minorHAnsi"/>
                <w:b w:val="0"/>
                <w:i w:val="0"/>
                <w:sz w:val="20"/>
                <w:szCs w:val="20"/>
              </w:rPr>
            </w:pPr>
            <w:r w:rsidRPr="007672DE">
              <w:rPr>
                <w:rFonts w:ascii="Adobe Garamond Pro" w:hAnsi="Adobe Garamond Pro" w:cstheme="minorHAnsi"/>
                <w:b w:val="0"/>
                <w:i w:val="0"/>
                <w:sz w:val="20"/>
                <w:szCs w:val="20"/>
              </w:rPr>
              <w:t xml:space="preserve">Keywords: </w:t>
            </w:r>
          </w:p>
          <w:p w14:paraId="623F7323" w14:textId="6AE3067B" w:rsidR="00A67F58" w:rsidRPr="007672DE" w:rsidRDefault="0089055F">
            <w:pPr>
              <w:pStyle w:val="keywords"/>
              <w:tabs>
                <w:tab w:val="left" w:pos="1530"/>
              </w:tabs>
              <w:spacing w:after="0"/>
              <w:ind w:left="0" w:firstLine="0"/>
              <w:jc w:val="left"/>
              <w:rPr>
                <w:rFonts w:ascii="Adobe Garamond Pro" w:hAnsi="Adobe Garamond Pro" w:cstheme="minorHAnsi"/>
                <w:b w:val="0"/>
                <w:i w:val="0"/>
                <w:sz w:val="20"/>
                <w:szCs w:val="20"/>
              </w:rPr>
            </w:pPr>
            <w:r w:rsidRPr="0089055F">
              <w:rPr>
                <w:rFonts w:ascii="Adobe Garamond Pro" w:hAnsi="Adobe Garamond Pro"/>
                <w:b w:val="0"/>
                <w:bCs w:val="0"/>
                <w:i w:val="0"/>
                <w:iCs w:val="0"/>
                <w:sz w:val="20"/>
                <w:szCs w:val="20"/>
                <w:lang w:val="en"/>
              </w:rPr>
              <w:t>Customer Satisfaction, E-Service Quality, Customer Loyalty, Online Ticket Reservation</w:t>
            </w:r>
          </w:p>
          <w:p w14:paraId="3730F5E2" w14:textId="77777777" w:rsidR="00A67F58" w:rsidRPr="007672DE" w:rsidRDefault="00A67F58">
            <w:pPr>
              <w:pStyle w:val="keywords"/>
              <w:tabs>
                <w:tab w:val="left" w:pos="1530"/>
              </w:tabs>
              <w:spacing w:before="240" w:after="0"/>
              <w:ind w:left="0" w:firstLine="0"/>
              <w:jc w:val="left"/>
              <w:rPr>
                <w:rFonts w:ascii="Adobe Garamond Pro" w:hAnsi="Adobe Garamond Pro" w:cstheme="minorHAnsi"/>
                <w:b w:val="0"/>
                <w:i w:val="0"/>
                <w:sz w:val="22"/>
                <w:szCs w:val="22"/>
              </w:rPr>
            </w:pPr>
          </w:p>
          <w:p w14:paraId="6C55B5B7" w14:textId="77777777" w:rsidR="00A67F58" w:rsidRPr="007672DE" w:rsidRDefault="00825BC7">
            <w:pPr>
              <w:pStyle w:val="keywords"/>
              <w:spacing w:before="240" w:after="0"/>
              <w:ind w:left="0" w:firstLine="0"/>
              <w:jc w:val="left"/>
              <w:rPr>
                <w:rFonts w:ascii="Adobe Garamond Pro" w:hAnsi="Adobe Garamond Pro" w:cstheme="minorHAnsi"/>
                <w:b w:val="0"/>
                <w:i w:val="0"/>
                <w:sz w:val="20"/>
                <w:szCs w:val="20"/>
              </w:rPr>
            </w:pPr>
            <w:r w:rsidRPr="007672DE">
              <w:rPr>
                <w:rFonts w:ascii="Adobe Garamond Pro" w:hAnsi="Adobe Garamond Pro" w:cstheme="minorHAnsi"/>
                <w:b w:val="0"/>
                <w:i w:val="0"/>
                <w:sz w:val="20"/>
                <w:szCs w:val="20"/>
              </w:rPr>
              <w:t xml:space="preserve">JEL Code: </w:t>
            </w:r>
          </w:p>
          <w:p w14:paraId="2F292CC9" w14:textId="77777777" w:rsidR="00A67F58" w:rsidRPr="007672DE" w:rsidRDefault="00825BC7">
            <w:pPr>
              <w:pStyle w:val="keywords"/>
              <w:spacing w:after="0"/>
              <w:ind w:left="0" w:firstLine="0"/>
              <w:jc w:val="left"/>
              <w:rPr>
                <w:rFonts w:ascii="Adobe Garamond Pro" w:hAnsi="Adobe Garamond Pro" w:cstheme="minorHAnsi"/>
                <w:b w:val="0"/>
                <w:i w:val="0"/>
                <w:sz w:val="20"/>
                <w:szCs w:val="20"/>
              </w:rPr>
            </w:pPr>
            <w:r w:rsidRPr="007672DE">
              <w:rPr>
                <w:rFonts w:ascii="Adobe Garamond Pro" w:hAnsi="Adobe Garamond Pro" w:cstheme="minorHAnsi"/>
                <w:b w:val="0"/>
                <w:i w:val="0"/>
                <w:sz w:val="20"/>
                <w:szCs w:val="20"/>
              </w:rPr>
              <w:t>D13, I31, J22, K31</w:t>
            </w:r>
          </w:p>
          <w:p w14:paraId="59A7E5DF" w14:textId="77777777" w:rsidR="00A67F58" w:rsidRDefault="00A67F58">
            <w:pPr>
              <w:pStyle w:val="keywords"/>
              <w:tabs>
                <w:tab w:val="left" w:pos="1530"/>
              </w:tabs>
              <w:spacing w:after="0"/>
              <w:ind w:left="0" w:firstLine="0"/>
              <w:jc w:val="left"/>
              <w:rPr>
                <w:rFonts w:asciiTheme="minorHAnsi" w:hAnsiTheme="minorHAnsi" w:cstheme="minorHAnsi"/>
                <w:b w:val="0"/>
                <w:i w:val="0"/>
                <w:sz w:val="22"/>
                <w:szCs w:val="22"/>
              </w:rPr>
            </w:pPr>
          </w:p>
          <w:p w14:paraId="192A8776" w14:textId="77777777" w:rsidR="00A67F58" w:rsidRDefault="00A67F58">
            <w:pPr>
              <w:pStyle w:val="Author"/>
              <w:spacing w:before="0" w:after="0"/>
              <w:ind w:left="0"/>
              <w:jc w:val="left"/>
              <w:rPr>
                <w:rFonts w:asciiTheme="minorHAnsi" w:hAnsiTheme="minorHAnsi" w:cstheme="minorHAnsi"/>
                <w:sz w:val="22"/>
                <w:szCs w:val="22"/>
              </w:rPr>
            </w:pPr>
          </w:p>
        </w:tc>
      </w:tr>
      <w:tr w:rsidR="00A67F58" w14:paraId="775E1252" w14:textId="77777777">
        <w:tc>
          <w:tcPr>
            <w:tcW w:w="9198" w:type="dxa"/>
            <w:gridSpan w:val="3"/>
          </w:tcPr>
          <w:p w14:paraId="5B763B58" w14:textId="77777777" w:rsidR="00A67F58" w:rsidRDefault="00A67F58">
            <w:pPr>
              <w:spacing w:after="0" w:line="240" w:lineRule="auto"/>
              <w:jc w:val="both"/>
              <w:rPr>
                <w:rFonts w:cstheme="minorHAnsi"/>
              </w:rPr>
            </w:pPr>
          </w:p>
          <w:p w14:paraId="61CF7882" w14:textId="77777777" w:rsidR="00A67F58" w:rsidRDefault="00A67F58">
            <w:pPr>
              <w:spacing w:after="0" w:line="240" w:lineRule="auto"/>
              <w:jc w:val="both"/>
              <w:rPr>
                <w:rFonts w:cstheme="minorHAnsi"/>
              </w:rPr>
            </w:pPr>
          </w:p>
          <w:p w14:paraId="6F4EEF63" w14:textId="77777777" w:rsidR="00A67F58" w:rsidRDefault="00A67F58">
            <w:pPr>
              <w:spacing w:after="0" w:line="240" w:lineRule="auto"/>
              <w:jc w:val="both"/>
              <w:rPr>
                <w:rFonts w:cstheme="minorHAnsi"/>
              </w:rPr>
            </w:pPr>
          </w:p>
          <w:p w14:paraId="424292D7" w14:textId="77777777" w:rsidR="00A67F58" w:rsidRDefault="00A67F58">
            <w:pPr>
              <w:spacing w:after="0" w:line="240" w:lineRule="auto"/>
              <w:jc w:val="both"/>
              <w:rPr>
                <w:rFonts w:cstheme="minorHAnsi"/>
              </w:rPr>
            </w:pPr>
          </w:p>
          <w:p w14:paraId="0F080EE9" w14:textId="77777777" w:rsidR="00A67F58" w:rsidRDefault="00A67F58">
            <w:pPr>
              <w:spacing w:after="0" w:line="240" w:lineRule="auto"/>
              <w:jc w:val="both"/>
              <w:rPr>
                <w:rFonts w:cstheme="minorHAnsi"/>
              </w:rPr>
            </w:pPr>
          </w:p>
          <w:p w14:paraId="4330BB17" w14:textId="77777777" w:rsidR="00A67F58" w:rsidRDefault="00825BC7">
            <w:pPr>
              <w:spacing w:after="0" w:line="240" w:lineRule="auto"/>
              <w:jc w:val="both"/>
              <w:rPr>
                <w:rFonts w:cstheme="minorHAnsi"/>
              </w:rPr>
            </w:pPr>
            <w:r>
              <w:rPr>
                <w:rFonts w:cstheme="minorHAnsi"/>
              </w:rPr>
              <w:t>___________</w:t>
            </w:r>
          </w:p>
          <w:p w14:paraId="4F1F1B10" w14:textId="77777777" w:rsidR="00A67F58" w:rsidRDefault="00A67F58" w:rsidP="003C094E">
            <w:pPr>
              <w:pStyle w:val="Footer"/>
              <w:ind w:left="162" w:hanging="162"/>
              <w:rPr>
                <w:rFonts w:cstheme="minorHAnsi"/>
                <w:sz w:val="18"/>
                <w:szCs w:val="18"/>
              </w:rPr>
            </w:pPr>
          </w:p>
        </w:tc>
      </w:tr>
    </w:tbl>
    <w:p w14:paraId="4C929DB6" w14:textId="43A89162" w:rsidR="00A67F58" w:rsidRPr="00DC3EFC" w:rsidRDefault="00C92015">
      <w:pPr>
        <w:pStyle w:val="ListParagraph"/>
        <w:numPr>
          <w:ilvl w:val="0"/>
          <w:numId w:val="2"/>
        </w:numPr>
        <w:tabs>
          <w:tab w:val="left" w:pos="360"/>
        </w:tabs>
        <w:suppressAutoHyphens/>
        <w:spacing w:after="0" w:line="360" w:lineRule="auto"/>
        <w:ind w:hanging="720"/>
        <w:contextualSpacing w:val="0"/>
        <w:rPr>
          <w:rFonts w:ascii="Arial" w:hAnsi="Arial" w:cs="Arial"/>
          <w:b/>
          <w:color w:val="2E74B5" w:themeColor="accent1" w:themeShade="BF"/>
        </w:rPr>
      </w:pPr>
      <w:r w:rsidRPr="00DC3EFC">
        <w:rPr>
          <w:rFonts w:ascii="Arial" w:hAnsi="Arial" w:cs="Arial"/>
          <w:b/>
          <w:color w:val="2E74B5" w:themeColor="accent1" w:themeShade="BF"/>
        </w:rPr>
        <w:lastRenderedPageBreak/>
        <w:t xml:space="preserve">INTRODUCTION </w:t>
      </w:r>
    </w:p>
    <w:p w14:paraId="4CC66EE1" w14:textId="77777777" w:rsidR="009D1338" w:rsidRPr="009D1338" w:rsidRDefault="009D1338" w:rsidP="009D1338">
      <w:pPr>
        <w:spacing w:after="0" w:line="240" w:lineRule="auto"/>
        <w:jc w:val="both"/>
        <w:rPr>
          <w:rFonts w:ascii="Adobe Garamond Pro" w:hAnsi="Adobe Garamond Pro"/>
          <w:lang w:val="en"/>
        </w:rPr>
      </w:pPr>
      <w:r w:rsidRPr="009D1338">
        <w:rPr>
          <w:rFonts w:ascii="Adobe Garamond Pro" w:hAnsi="Adobe Garamond Pro"/>
          <w:lang w:val="en"/>
        </w:rPr>
        <w:t>The entertainment and creative economy industries in Indonesia are currently experiencing rapid acceleration, particularly in the sector of theatrical film screenings within modern cinema chains (Pratama &amp; Sitorus, 2021). As one of Indonesia's largest metropolitan hubs, Medan boasts high levels of entertainment consumption, with Cinema XXI (PT Nusantara Sejahtera Raya Tbk) serving as the public's premier lifestyle entertainment destination (Setiawan &amp; Utami, 2023). Intensifying industry competition compels management to formulate integrated marketing strategies focused on retaining customers and fostering service loyalty (Setiawan &amp; Utami, 2023). In the modern business ecosystem, user loyalty is a high-value strategic asset, as it drives repeat purchases, positive word-of-mouth recommendations, and resilience against competitor offerings (Kusuma &amp; Rahardjo, 2024). As the market leader, Cinema XXI promotes service digitalization through online ticket reservation systems such as the m.tix app and web portals—to ensure speed, convenience, and transaction comfort (Hasanah &amp; Setyawan, 2020).</w:t>
      </w:r>
    </w:p>
    <w:p w14:paraId="739899EF" w14:textId="77777777" w:rsidR="009D1338" w:rsidRPr="009D1338" w:rsidRDefault="009D1338" w:rsidP="009D1338">
      <w:pPr>
        <w:spacing w:after="0" w:line="240" w:lineRule="auto"/>
        <w:jc w:val="both"/>
        <w:rPr>
          <w:rFonts w:ascii="Adobe Garamond Pro" w:hAnsi="Adobe Garamond Pro"/>
          <w:lang w:val="en"/>
        </w:rPr>
      </w:pPr>
      <w:r w:rsidRPr="009D1338">
        <w:rPr>
          <w:rFonts w:ascii="Adobe Garamond Pro" w:hAnsi="Adobe Garamond Pro"/>
          <w:lang w:val="en"/>
        </w:rPr>
        <w:t>However, this digital service transformation is marked by various technical and operational obstacles that constitute fundamental issues (Wibowo &amp; Nurlaila, 2022). Problem identification reveals three primary constraints faced by consumers: (1) an extremely short payment deadline that frequently results in automatic transaction cancellation; (2) the absence of self-service features for rescheduling or cancelling tickets via the app; and (3) server disruptions (app errors or network lag) during traffic spikes for blockbuster movie bookings (Wibowo &amp; Nurlaila, 2022). The complexity of this issue lies in the clash between high consumer digital expectations and the technical limitations of the application. These technical issues trigger emotional frustration and a decline in the perceived quality of digital services (e-service quality), which ultimately has the potential to undermine long-term loyalty bonds, even though consumers are satisfied with the cinema's physical facilities (Al-dweeri et al., 2021; Rizky &amp; Purwanto, 2022).</w:t>
      </w:r>
    </w:p>
    <w:p w14:paraId="40564AC1" w14:textId="77777777" w:rsidR="009D1338" w:rsidRPr="009D1338" w:rsidRDefault="009D1338" w:rsidP="009D1338">
      <w:pPr>
        <w:spacing w:after="0" w:line="240" w:lineRule="auto"/>
        <w:jc w:val="both"/>
        <w:rPr>
          <w:rFonts w:ascii="Adobe Garamond Pro" w:hAnsi="Adobe Garamond Pro"/>
          <w:lang w:val="en"/>
        </w:rPr>
      </w:pPr>
      <w:r w:rsidRPr="009D1338">
        <w:rPr>
          <w:rFonts w:ascii="Adobe Garamond Pro" w:hAnsi="Adobe Garamond Pro"/>
          <w:lang w:val="en"/>
        </w:rPr>
        <w:t xml:space="preserve">Theoretically, conventional marketing literature often positions customer satisfaction as a primary driver of loyalty (Kotler &amp; Keller, 2021; Tjiptono &amp; Diana, 2020). However, recent literature indicates that post-viewing transactional satisfaction is insufficient to guarantee consumer loyalty when switching costs are low and digital platform performance is unreliable (Suryani &amp; Hidayat, 2025). This study addresses a gap in the literature by empirically examining the technical engagement aspects of online-to-offline (O2O) reservation systems in an emerging market. Based on these issues, the following research questions were formulated: (1) Does customer satisfaction have a partial effect on the loyalty of Cinema XXI Medan service users? (2) Does digital service quality have a partial effect on the loyalty of Cinema XXI Medan service users? (3) Do customer satisfaction and digital service quality have a simultaneous effect on the loyalty of Cinema XXI Medan service users? </w:t>
      </w:r>
    </w:p>
    <w:p w14:paraId="497E9B5D" w14:textId="77777777" w:rsidR="009D1338" w:rsidRPr="009D1338" w:rsidRDefault="009D1338" w:rsidP="009D1338">
      <w:pPr>
        <w:spacing w:after="0" w:line="240" w:lineRule="auto"/>
        <w:jc w:val="both"/>
        <w:rPr>
          <w:rFonts w:ascii="Adobe Garamond Pro" w:hAnsi="Adobe Garamond Pro"/>
          <w:lang w:val="en"/>
        </w:rPr>
      </w:pPr>
      <w:r w:rsidRPr="009D1338">
        <w:rPr>
          <w:rFonts w:ascii="Adobe Garamond Pro" w:hAnsi="Adobe Garamond Pro"/>
          <w:lang w:val="en"/>
        </w:rPr>
        <w:t xml:space="preserve">The objective of this study is to analyze and empirically verify the partial and simultaneous effects of customer satisfaction and digital service quality on the loyalty of Cinema XXI Medan service users. To achieve this objective, the study employs a quantitative, associative-causal approach. Primary data were collected via structured questionnaires from 100 respondents users of the XXI digital ticket reservation application in Medan—selected using accidental sampling. Data analysis was conducted using a multiple linear regression model following the successful completion of validity, reliability, and classical assumption tests (Ghozali, 2021; Sugiyono, 2022). </w:t>
      </w:r>
    </w:p>
    <w:p w14:paraId="191B230B" w14:textId="77777777" w:rsidR="009D1338" w:rsidRDefault="009D1338" w:rsidP="009D1338">
      <w:pPr>
        <w:spacing w:after="0" w:line="240" w:lineRule="auto"/>
        <w:jc w:val="both"/>
        <w:rPr>
          <w:rFonts w:ascii="Adobe Garamond Pro" w:hAnsi="Adobe Garamond Pro"/>
          <w:lang w:val="en"/>
        </w:rPr>
      </w:pPr>
      <w:r w:rsidRPr="009D1338">
        <w:rPr>
          <w:rFonts w:ascii="Adobe Garamond Pro" w:hAnsi="Adobe Garamond Pro"/>
          <w:lang w:val="en"/>
        </w:rPr>
        <w:t>The empirical findings of this study make a significant contribution to the digital business literature. The results convey a key message: post-viewing emotional satisfaction does not guarantee retention in the absence of digital system reliability. In practical terms, the management of Cinema XXI Medan is evaluated to prioritize increasing server capacity, providing a self-service rescheduling feature, and extending payment deadlines in order to maintain customer loyalty (Ananda &amp; Lestari, 2022; Ferdinand &amp; Wijaya, 2023).</w:t>
      </w:r>
    </w:p>
    <w:p w14:paraId="2249582C" w14:textId="77777777" w:rsidR="002B1769" w:rsidRPr="009D1338" w:rsidRDefault="002B1769" w:rsidP="009D1338">
      <w:pPr>
        <w:spacing w:after="0" w:line="240" w:lineRule="auto"/>
        <w:jc w:val="both"/>
        <w:rPr>
          <w:rFonts w:ascii="Adobe Garamond Pro" w:hAnsi="Adobe Garamond Pro"/>
        </w:rPr>
      </w:pPr>
    </w:p>
    <w:p w14:paraId="09274C80" w14:textId="34DE2D4D" w:rsidR="00A67F58" w:rsidRPr="00DC3EFC" w:rsidRDefault="007672DE" w:rsidP="002B1769">
      <w:pPr>
        <w:pStyle w:val="ListParagraph"/>
        <w:numPr>
          <w:ilvl w:val="0"/>
          <w:numId w:val="3"/>
        </w:numPr>
        <w:tabs>
          <w:tab w:val="left" w:pos="360"/>
        </w:tabs>
        <w:suppressAutoHyphens/>
        <w:spacing w:after="0" w:line="360" w:lineRule="auto"/>
        <w:contextualSpacing w:val="0"/>
        <w:jc w:val="both"/>
        <w:rPr>
          <w:rFonts w:ascii="Arial" w:hAnsi="Arial" w:cs="Arial"/>
          <w:b/>
          <w:color w:val="2E74B5" w:themeColor="accent1" w:themeShade="BF"/>
        </w:rPr>
      </w:pPr>
      <w:r w:rsidRPr="00DC3EFC">
        <w:rPr>
          <w:rFonts w:ascii="Arial" w:hAnsi="Arial" w:cs="Arial"/>
          <w:b/>
          <w:color w:val="2E74B5" w:themeColor="accent1" w:themeShade="BF"/>
        </w:rPr>
        <w:t xml:space="preserve">LITERATURE REVIEW </w:t>
      </w:r>
    </w:p>
    <w:p w14:paraId="6919946C" w14:textId="77777777" w:rsidR="002B1769" w:rsidRPr="002B1769" w:rsidRDefault="002B1769" w:rsidP="002B1769">
      <w:pPr>
        <w:spacing w:after="0" w:line="240" w:lineRule="auto"/>
        <w:jc w:val="both"/>
        <w:rPr>
          <w:rFonts w:ascii="Adobe Garamond Pro" w:hAnsi="Adobe Garamond Pro"/>
          <w:b/>
          <w:bCs/>
          <w:lang w:val="en"/>
        </w:rPr>
      </w:pPr>
      <w:r w:rsidRPr="002B1769">
        <w:rPr>
          <w:rFonts w:ascii="Adobe Garamond Pro" w:hAnsi="Adobe Garamond Pro"/>
          <w:b/>
          <w:bCs/>
          <w:lang w:val="en"/>
        </w:rPr>
        <w:t>Customer Satisfaction and Customer Loyalty</w:t>
      </w:r>
    </w:p>
    <w:p w14:paraId="155FE940" w14:textId="77777777" w:rsidR="002B1769" w:rsidRPr="002B1769" w:rsidRDefault="002B1769" w:rsidP="002B1769">
      <w:pPr>
        <w:spacing w:after="0" w:line="240" w:lineRule="auto"/>
        <w:jc w:val="both"/>
        <w:rPr>
          <w:rFonts w:ascii="Adobe Garamond Pro" w:hAnsi="Adobe Garamond Pro"/>
          <w:lang w:val="en"/>
        </w:rPr>
      </w:pPr>
      <w:r w:rsidRPr="002B1769">
        <w:rPr>
          <w:rFonts w:ascii="Adobe Garamond Pro" w:hAnsi="Adobe Garamond Pro"/>
          <w:lang w:val="en"/>
        </w:rPr>
        <w:t xml:space="preserve">In the realm of contemporary marketing management, the link between customer satisfaction and customer loyalty is a fundamental subject undergoing a paradigm shift in the era of digital transformation. Theoretically, Kotler and Keller (2021) define customer satisfaction as a post-purchase affective response reflecting a person's level of pleasure or disappointment after comparing perceived service performance with their initial expectations. When service providers successfully meet consumer expectations, satisfaction </w:t>
      </w:r>
      <w:r w:rsidRPr="002B1769">
        <w:rPr>
          <w:rFonts w:ascii="Adobe Garamond Pro" w:hAnsi="Adobe Garamond Pro"/>
          <w:lang w:val="en"/>
        </w:rPr>
        <w:lastRenderedPageBreak/>
        <w:t>naturally emerges; according to Tjiptono and Diana (2020), this acts as a key determinant in driving customer retention within the entertainment service industry. However, the traditional linear assumption that high satisfaction always correlates directly with strong loyalty is being challenged by recent empirical findings.</w:t>
      </w:r>
    </w:p>
    <w:p w14:paraId="1B83F2F3" w14:textId="77777777" w:rsidR="002B1769" w:rsidRPr="002B1769" w:rsidRDefault="002B1769" w:rsidP="002B1769">
      <w:pPr>
        <w:spacing w:after="0" w:line="240" w:lineRule="auto"/>
        <w:jc w:val="both"/>
        <w:rPr>
          <w:rFonts w:ascii="Adobe Garamond Pro" w:hAnsi="Adobe Garamond Pro"/>
          <w:lang w:val="en"/>
        </w:rPr>
      </w:pPr>
      <w:r w:rsidRPr="002B1769">
        <w:rPr>
          <w:rFonts w:ascii="Adobe Garamond Pro" w:hAnsi="Adobe Garamond Pro"/>
          <w:lang w:val="en"/>
        </w:rPr>
        <w:t>Service user loyalty is defined by Ananda and Lestari (2022) as a deep psychological commitment and the manifestation of consistent behavior regarding the future repurchase of a specific service, persisting despite situational pressures or aggressive marketing maneuvers by competitors attempting to trigger switching behavior. Ferdinand and Wijaya (2023) add that loyalty within the digital entertainment industry ecosystem reflects a user's voluntary decision to continue using an application platform over the long term. This theoretical relationship is underpinned by the premise that repeatedly experienced transactional satisfaction fosters emotional bonds and a track record of positive experiences, thereby cultivating a commitment to loyalty (Setiawan &amp; Utami, 2023).</w:t>
      </w:r>
    </w:p>
    <w:p w14:paraId="300C1EAF" w14:textId="77777777" w:rsidR="002B1769" w:rsidRPr="002B1769" w:rsidRDefault="002B1769" w:rsidP="002B1769">
      <w:pPr>
        <w:spacing w:line="240" w:lineRule="auto"/>
        <w:jc w:val="both"/>
        <w:rPr>
          <w:rFonts w:ascii="Adobe Garamond Pro" w:hAnsi="Adobe Garamond Pro"/>
          <w:lang w:val="en"/>
        </w:rPr>
      </w:pPr>
      <w:r w:rsidRPr="002B1769">
        <w:rPr>
          <w:rFonts w:ascii="Adobe Garamond Pro" w:hAnsi="Adobe Garamond Pro"/>
          <w:lang w:val="en"/>
        </w:rPr>
        <w:t>Nevertheless, there remains a critical theoretical and empirical gap regarding the partial influence of satisfaction on loyalty within the context of digital cinema services. Quantitative analysis findings regarding Cinema XXI in Medan City reveal a significant anomaly: partial testing demonstrates that customer satisfaction does not have a significant effect on service user loyalty. This empirical phenomenon reinforces the argument put forward by Suryani and Hidayat (2025) that post-viewing satisfaction at the cinema tends to be temporary and transactional in nature. While audiences may be satisfied with the quality of the film screening or the friendliness of the staff at the physical ticket counter, such satisfaction does not automatically translate into exclusive loyalty to Cinema XXI. Consumers readily shift their preferences when competing cinemas offer more convenient locations or cheaper ticket promotions. The revealed gap indicates that in the digital entertainment industry characterized by low switching costs transactional satisfaction is insufficient to guarantee behavioral loyalty; consequently, additional explanatory variables of a structural and functional nature are required (Wibowo &amp; Nurlaila, 2022).</w:t>
      </w:r>
    </w:p>
    <w:p w14:paraId="5C01E136" w14:textId="77777777" w:rsidR="002B1769" w:rsidRPr="002B1769" w:rsidRDefault="002B1769" w:rsidP="002B1769">
      <w:pPr>
        <w:spacing w:after="0" w:line="240" w:lineRule="auto"/>
        <w:jc w:val="both"/>
        <w:rPr>
          <w:rFonts w:ascii="Adobe Garamond Pro" w:hAnsi="Adobe Garamond Pro"/>
          <w:b/>
          <w:bCs/>
          <w:lang w:val="en"/>
        </w:rPr>
      </w:pPr>
      <w:r w:rsidRPr="002B1769">
        <w:rPr>
          <w:rFonts w:ascii="Adobe Garamond Pro" w:hAnsi="Adobe Garamond Pro"/>
          <w:b/>
          <w:bCs/>
          <w:lang w:val="en"/>
        </w:rPr>
        <w:t>Electronic Service Quality (E-Service Quality) and Customer Loyalty</w:t>
      </w:r>
    </w:p>
    <w:p w14:paraId="4F29B2F4" w14:textId="77777777" w:rsidR="002B1769" w:rsidRPr="002B1769" w:rsidRDefault="002B1769" w:rsidP="002B1769">
      <w:pPr>
        <w:spacing w:after="0" w:line="240" w:lineRule="auto"/>
        <w:jc w:val="both"/>
        <w:rPr>
          <w:rFonts w:ascii="Adobe Garamond Pro" w:hAnsi="Adobe Garamond Pro"/>
          <w:lang w:val="en"/>
        </w:rPr>
      </w:pPr>
      <w:r w:rsidRPr="002B1769">
        <w:rPr>
          <w:rFonts w:ascii="Adobe Garamond Pro" w:hAnsi="Adobe Garamond Pro"/>
          <w:lang w:val="en"/>
        </w:rPr>
        <w:t>With the accelerating adoption of information and communication technology (ICT), interactions between consumers and service providers are no longer dominated by physical presence but instead take place via digital platforms. Al-dweeri et al. (2021) define digital service quality or e-service quality (e-SQ) as the extent to which a website or mobile application facilitates shopping, ordering, and the delivery of products or services effectively and efficiently. Unlike conventional service quality, which relies on personal interaction, Rizky and Purwanto (2022) emphasize that electronic service quality encompasses a consumer's comprehensive assessment of all digital interaction dimensions, ranging from user interface aesthetics to post-transaction operational reliability.</w:t>
      </w:r>
    </w:p>
    <w:p w14:paraId="0DC3086B" w14:textId="77777777" w:rsidR="002B1769" w:rsidRPr="002B1769" w:rsidRDefault="002B1769" w:rsidP="002B1769">
      <w:pPr>
        <w:spacing w:after="0" w:line="240" w:lineRule="auto"/>
        <w:jc w:val="both"/>
        <w:rPr>
          <w:rFonts w:ascii="Adobe Garamond Pro" w:hAnsi="Adobe Garamond Pro"/>
          <w:lang w:val="en"/>
        </w:rPr>
      </w:pPr>
      <w:r w:rsidRPr="002B1769">
        <w:rPr>
          <w:rFonts w:ascii="Adobe Garamond Pro" w:hAnsi="Adobe Garamond Pro"/>
          <w:lang w:val="en"/>
        </w:rPr>
        <w:t>Theoretically, Tjiptono and Diana (2020) as well as Suryani and Hidayat (2025) have identified critical dimensions of electronic service quality, including efficiency, technical reliability, fulfillment (of system promises), privacy (personal data security), responsiveness, compensation, and contact availability. When an online reservation application such as the m.tix app for XXI Cinemas successfully integrates these dimensions, users experience ease of access and reduced transactional barriers; this gradually fosters a routine of repeated platform usage (Setiawan &amp; Utami, 2023).</w:t>
      </w:r>
    </w:p>
    <w:p w14:paraId="0E26B92E" w14:textId="77777777" w:rsidR="002B1769" w:rsidRPr="002B1769" w:rsidRDefault="002B1769" w:rsidP="002B1769">
      <w:pPr>
        <w:spacing w:after="0" w:line="240" w:lineRule="auto"/>
        <w:jc w:val="both"/>
        <w:rPr>
          <w:rFonts w:ascii="Adobe Garamond Pro" w:hAnsi="Adobe Garamond Pro"/>
          <w:lang w:val="en"/>
        </w:rPr>
      </w:pPr>
      <w:r w:rsidRPr="002B1769">
        <w:rPr>
          <w:rFonts w:ascii="Adobe Garamond Pro" w:hAnsi="Adobe Garamond Pro"/>
          <w:lang w:val="en"/>
        </w:rPr>
        <w:t>The positive correlation between electronic service quality and loyalty is empirically supported by quantitative findings from a case study of XXI Cinemas in Medan, which demonstrate that digital service quality has a significant positive partial effect on user loyalty. These findings align with the study by Kusuma and Rahardjo (2024), which highlights that navigation efficiency, ease of transaction, and system reliability in issuing digital ticket codes serve as key drivers of behavioral retention. When consumers perceive the digital system as reliable and free from technical failures, they are likely to continue using the application to meet their entertainment needs.</w:t>
      </w:r>
    </w:p>
    <w:p w14:paraId="7E9AD80C" w14:textId="77777777" w:rsidR="002B1769" w:rsidRPr="002B1769" w:rsidRDefault="002B1769" w:rsidP="002B1769">
      <w:pPr>
        <w:spacing w:line="240" w:lineRule="auto"/>
        <w:jc w:val="both"/>
        <w:rPr>
          <w:rFonts w:ascii="Adobe Garamond Pro" w:hAnsi="Adobe Garamond Pro"/>
          <w:lang w:val="en"/>
        </w:rPr>
      </w:pPr>
      <w:r w:rsidRPr="002B1769">
        <w:rPr>
          <w:rFonts w:ascii="Adobe Garamond Pro" w:hAnsi="Adobe Garamond Pro"/>
          <w:lang w:val="en"/>
        </w:rPr>
        <w:t>However, the gap identified here relates to operational-technical constraints that conflict with Cinema XXI’s status as the market leader. Descriptive data reveal systemic complaints: 40% of respondents expressed disagreement and 38% strong disagreement regarding system reliability during peak hours and the flexibility of self-service ticket cancellations. This gap indicates that, while digital service quality is a key driver of loyalty, technical performance issues—such as network lag during traffic surges for blockbuster films—and overly restrictive payment deadlines remain structural obstacles. These findings demonstrate that modern consumer loyalty is highly sensitive to system reliability; even minor technical failures regarding reliability and responsiveness can jeopardize user retention (Hasanah &amp; Setyawan, 2020; Wibowo &amp; Nurlaila, 2022).</w:t>
      </w:r>
    </w:p>
    <w:p w14:paraId="155F495C" w14:textId="77777777" w:rsidR="002B1769" w:rsidRPr="002B1769" w:rsidRDefault="002B1769" w:rsidP="002B1769">
      <w:pPr>
        <w:spacing w:after="0" w:line="240" w:lineRule="auto"/>
        <w:jc w:val="both"/>
        <w:rPr>
          <w:rFonts w:ascii="Adobe Garamond Pro" w:hAnsi="Adobe Garamond Pro"/>
          <w:b/>
          <w:bCs/>
          <w:lang w:val="en"/>
        </w:rPr>
      </w:pPr>
      <w:r w:rsidRPr="002B1769">
        <w:rPr>
          <w:rFonts w:ascii="Adobe Garamond Pro" w:hAnsi="Adobe Garamond Pro"/>
          <w:b/>
          <w:bCs/>
          <w:lang w:val="en"/>
        </w:rPr>
        <w:lastRenderedPageBreak/>
        <w:t>Customer Satisfaction and E-Service Quality in Relation to Customer Loyalty</w:t>
      </w:r>
    </w:p>
    <w:p w14:paraId="038E11C9" w14:textId="77777777" w:rsidR="002B1769" w:rsidRPr="002B1769" w:rsidRDefault="002B1769" w:rsidP="002B1769">
      <w:pPr>
        <w:spacing w:after="0" w:line="240" w:lineRule="auto"/>
        <w:jc w:val="both"/>
        <w:rPr>
          <w:rFonts w:ascii="Adobe Garamond Pro" w:hAnsi="Adobe Garamond Pro"/>
          <w:lang w:val="en"/>
        </w:rPr>
      </w:pPr>
      <w:r w:rsidRPr="002B1769">
        <w:rPr>
          <w:rFonts w:ascii="Adobe Garamond Pro" w:hAnsi="Adobe Garamond Pro"/>
          <w:lang w:val="en"/>
        </w:rPr>
        <w:t>A comprehensive approach to examining consumer loyalty requires the simultaneous integration of psychological evaluation aspects and the performance of technological infrastructure. Conceptually, these two independent variables do not operate in isolation; rather, they complement each other in constructing a holistic digital experience ecosystem for consumers. Pratama and Sitorus (2021) argue that a thorough evaluation of the m.tix online ticketing application must involve a synergy between the emotional satisfaction felt by moviegoers after watching a film and the technical efficiency offered by the application during the pre-transaction phase.</w:t>
      </w:r>
    </w:p>
    <w:p w14:paraId="7C4D0ACE" w14:textId="77777777" w:rsidR="002B1769" w:rsidRPr="002B1769" w:rsidRDefault="002B1769" w:rsidP="002B1769">
      <w:pPr>
        <w:spacing w:after="0" w:line="240" w:lineRule="auto"/>
        <w:jc w:val="both"/>
        <w:rPr>
          <w:rFonts w:ascii="Adobe Garamond Pro" w:hAnsi="Adobe Garamond Pro"/>
          <w:lang w:val="en"/>
        </w:rPr>
      </w:pPr>
      <w:r w:rsidRPr="002B1769">
        <w:rPr>
          <w:rFonts w:ascii="Adobe Garamond Pro" w:hAnsi="Adobe Garamond Pro"/>
          <w:lang w:val="en"/>
        </w:rPr>
        <w:t>This underscores the fact that customer satisfaction and e-service quality jointly exert a significant influence on the loyalty of Cinema XXI service users in Medan. These quantitative findings validate the proposed conceptual framework, demonstrating that a combination of improved digital reservation system quality and integrated customer satisfaction management effectively predicts increased loyalty.</w:t>
      </w:r>
    </w:p>
    <w:p w14:paraId="7681B56A" w14:textId="32A48948" w:rsidR="002B1769" w:rsidRDefault="002B1769" w:rsidP="002B1769">
      <w:pPr>
        <w:tabs>
          <w:tab w:val="left" w:pos="0"/>
        </w:tabs>
        <w:suppressAutoHyphens/>
        <w:spacing w:after="0" w:line="240" w:lineRule="auto"/>
        <w:jc w:val="both"/>
        <w:rPr>
          <w:rFonts w:ascii="Adobe Garamond Pro" w:hAnsi="Adobe Garamond Pro"/>
          <w:lang w:val="en"/>
        </w:rPr>
      </w:pPr>
      <w:r w:rsidRPr="002B1769">
        <w:rPr>
          <w:rFonts w:ascii="Adobe Garamond Pro" w:hAnsi="Adobe Garamond Pro"/>
          <w:lang w:val="en"/>
        </w:rPr>
        <w:t>The key gap identified and addressed through this simultaneous synthesis stems from the theoretical insight that, while customer satisfaction alone (in isolation) does not have a significant effect, its impact on loyalty becomes highly significant when combined with e-service quality. This leads to a robust theoretical foundation for formulating research questions and hypotheses. This foundation indicates that digital service quality acts as a crucial enabler, transforming fragile transactional satisfaction into solid loyalty. Without the support of high-quality e-services such as self-service rescheduling features, extended payment deadlines, and server optimization during peak traffic viewer satisfaction alone cannot foster long-term retention. This theoretical integration underpins the research hypothesis and addresses the study's primary objective: formulating a technology-based customer retention strategy to ensure the business sustainability of Cinema XXI Medan amidst intense competition in the metropolitan entertainment industry (Al-dweeri et al., 2021; Suryani &amp; Hidayat, 2025).</w:t>
      </w:r>
    </w:p>
    <w:p w14:paraId="36248AFE" w14:textId="77777777" w:rsidR="002B1769" w:rsidRPr="002B1769" w:rsidRDefault="002B1769" w:rsidP="002B1769">
      <w:pPr>
        <w:tabs>
          <w:tab w:val="left" w:pos="0"/>
        </w:tabs>
        <w:suppressAutoHyphens/>
        <w:spacing w:after="0" w:line="240" w:lineRule="auto"/>
        <w:jc w:val="both"/>
        <w:rPr>
          <w:rFonts w:ascii="Adobe Garamond Pro" w:hAnsi="Adobe Garamond Pro" w:cstheme="minorHAnsi"/>
        </w:rPr>
      </w:pPr>
    </w:p>
    <w:p w14:paraId="192945BA" w14:textId="4A7CAE80" w:rsidR="00A67F58" w:rsidRPr="00DC3EFC" w:rsidRDefault="007672DE">
      <w:pPr>
        <w:pStyle w:val="ListParagraph"/>
        <w:numPr>
          <w:ilvl w:val="0"/>
          <w:numId w:val="3"/>
        </w:numPr>
        <w:tabs>
          <w:tab w:val="left" w:pos="360"/>
        </w:tabs>
        <w:suppressAutoHyphens/>
        <w:spacing w:after="0" w:line="360" w:lineRule="auto"/>
        <w:contextualSpacing w:val="0"/>
        <w:jc w:val="both"/>
        <w:rPr>
          <w:rFonts w:ascii="Arial" w:hAnsi="Arial" w:cs="Arial"/>
          <w:b/>
          <w:color w:val="2E74B5" w:themeColor="accent1" w:themeShade="BF"/>
        </w:rPr>
      </w:pPr>
      <w:r w:rsidRPr="00DC3EFC">
        <w:rPr>
          <w:rFonts w:ascii="Arial" w:hAnsi="Arial" w:cs="Arial"/>
          <w:b/>
          <w:color w:val="2E74B5" w:themeColor="accent1" w:themeShade="BF"/>
        </w:rPr>
        <w:t xml:space="preserve">METHOD, DATA, AND ANALYSIS </w:t>
      </w:r>
    </w:p>
    <w:p w14:paraId="3E7E5C88" w14:textId="77777777" w:rsidR="00C33BF5" w:rsidRPr="00C33BF5" w:rsidRDefault="00C33BF5" w:rsidP="00C33BF5">
      <w:pPr>
        <w:spacing w:line="240" w:lineRule="auto"/>
        <w:jc w:val="both"/>
        <w:rPr>
          <w:rFonts w:ascii="Adobe Garamond Pro" w:hAnsi="Adobe Garamond Pro"/>
          <w:lang w:val="en"/>
        </w:rPr>
      </w:pPr>
      <w:r w:rsidRPr="00C33BF5">
        <w:rPr>
          <w:rFonts w:ascii="Adobe Garamond Pro" w:hAnsi="Adobe Garamond Pro"/>
          <w:lang w:val="en"/>
        </w:rPr>
        <w:t>Based on the formulated research problem, the methodology was systematically designed using a quantitative, associative-causal approach. This approach was selected to examine cause and effect relationships and to objectively verify through statistical analysis the influence of Customer Satisfaction and Digital Service Quality on Service User Loyalty.</w:t>
      </w:r>
    </w:p>
    <w:p w14:paraId="10B0987D" w14:textId="77777777" w:rsidR="00C33BF5" w:rsidRPr="00C33BF5" w:rsidRDefault="00C33BF5" w:rsidP="00C33BF5">
      <w:pPr>
        <w:spacing w:after="0" w:line="240" w:lineRule="auto"/>
        <w:jc w:val="both"/>
        <w:rPr>
          <w:rFonts w:ascii="Adobe Garamond Pro" w:hAnsi="Adobe Garamond Pro"/>
          <w:b/>
          <w:bCs/>
          <w:lang w:val="en"/>
        </w:rPr>
      </w:pPr>
      <w:r w:rsidRPr="00C33BF5">
        <w:rPr>
          <w:rFonts w:ascii="Adobe Garamond Pro" w:hAnsi="Adobe Garamond Pro"/>
          <w:b/>
          <w:bCs/>
          <w:lang w:val="en"/>
        </w:rPr>
        <w:t>Measurement Items and Questionnaire Development</w:t>
      </w:r>
    </w:p>
    <w:p w14:paraId="61D6A709" w14:textId="77777777" w:rsidR="00C33BF5" w:rsidRPr="00C33BF5" w:rsidRDefault="00C33BF5" w:rsidP="00C33BF5">
      <w:pPr>
        <w:spacing w:line="240" w:lineRule="auto"/>
        <w:jc w:val="both"/>
        <w:rPr>
          <w:rFonts w:ascii="Adobe Garamond Pro" w:hAnsi="Adobe Garamond Pro"/>
        </w:rPr>
      </w:pPr>
      <w:r w:rsidRPr="00C33BF5">
        <w:rPr>
          <w:rFonts w:ascii="Adobe Garamond Pro" w:hAnsi="Adobe Garamond Pro"/>
          <w:lang w:val="en"/>
        </w:rPr>
        <w:t>The research instrument was developed using a structured questionnaire employing a Likert Summated Rating scale ranging from 1 (Strongly Disagree) to 5 (Strongly Agree). Each variable was operationalized into indicators based on established theoretical frameworks. The Customer Satisfaction variable was measured using six statement items adapted from Kotler (2010), covering indicators such as the willingness to recommend the service to others (items 1–2), the intention to reuse the service in the future (items 3–4), and the formation of purchasing decisions (items 5–6). The Digital Service Quality variable was measured using 14 statement items based on the e-service quality dimensions proposed by Fandy Tjiptono and Chandra (2005), comprising efficiency (items 1–2), reliability (items 3–4), fulfillment (items 5–6), privacy (items 7–8), responsiveness (items 9–10), compensation (items 11–12), and contact (items 13–14). The Service User Loyalty variable was measured using 24 statement items adapted from the theory of Etta Mamang and Sopiah (2013), encompassing repeat purchases (items 1–6), purchases across product lines (items 7–12), referrals (items 13–18), and retention (items 19–24).</w:t>
      </w:r>
    </w:p>
    <w:p w14:paraId="02D2E3E2" w14:textId="77777777" w:rsidR="00C33BF5" w:rsidRPr="00C33BF5" w:rsidRDefault="00C33BF5" w:rsidP="00C33BF5">
      <w:pPr>
        <w:spacing w:after="0" w:line="240" w:lineRule="auto"/>
        <w:jc w:val="both"/>
        <w:rPr>
          <w:rFonts w:ascii="Adobe Garamond Pro" w:hAnsi="Adobe Garamond Pro"/>
          <w:b/>
          <w:bCs/>
          <w:lang w:val="en"/>
        </w:rPr>
      </w:pPr>
      <w:r w:rsidRPr="00C33BF5">
        <w:rPr>
          <w:rFonts w:ascii="Adobe Garamond Pro" w:hAnsi="Adobe Garamond Pro"/>
          <w:b/>
          <w:bCs/>
          <w:lang w:val="en"/>
        </w:rPr>
        <w:t>Data Collection and Sample Demographics</w:t>
      </w:r>
    </w:p>
    <w:p w14:paraId="6F7CFFE2" w14:textId="77777777" w:rsidR="00C33BF5" w:rsidRPr="00C33BF5" w:rsidRDefault="00C33BF5" w:rsidP="00C33BF5">
      <w:pPr>
        <w:spacing w:after="0" w:line="240" w:lineRule="auto"/>
        <w:jc w:val="both"/>
        <w:rPr>
          <w:rFonts w:ascii="Adobe Garamond Pro" w:hAnsi="Adobe Garamond Pro"/>
          <w:lang w:val="en"/>
        </w:rPr>
      </w:pPr>
      <w:r w:rsidRPr="00C33BF5">
        <w:rPr>
          <w:rFonts w:ascii="Adobe Garamond Pro" w:hAnsi="Adobe Garamond Pro"/>
          <w:lang w:val="en"/>
        </w:rPr>
        <w:t>Primary data collection was conducted directly by distributing questionnaires to the target population—an infinite population consisting of all users of the m.tix application or the Cinema XXI web platform in Medan City. The research location focused on three major cinema branches: Delipark XXI, Sun Plaza XXI, and Centre Point XXI. The study was carried out between January and May 2026.</w:t>
      </w:r>
    </w:p>
    <w:p w14:paraId="29717671" w14:textId="77777777" w:rsidR="00C33BF5" w:rsidRPr="00C33BF5" w:rsidRDefault="00C33BF5" w:rsidP="00C33BF5">
      <w:pPr>
        <w:spacing w:line="240" w:lineRule="auto"/>
        <w:jc w:val="both"/>
        <w:rPr>
          <w:rFonts w:ascii="Adobe Garamond Pro" w:hAnsi="Adobe Garamond Pro"/>
          <w:lang w:val="en"/>
        </w:rPr>
      </w:pPr>
      <w:r w:rsidRPr="00C33BF5">
        <w:rPr>
          <w:rFonts w:ascii="Adobe Garamond Pro" w:hAnsi="Adobe Garamond Pro"/>
          <w:lang w:val="en"/>
        </w:rPr>
        <w:t xml:space="preserve">Given that the exact population size was unknown, the sample size was set at 100 respondents using a non-probability sampling technique specifically, accidental sampling. Operational targets were met by setting a quota of 10 respondents per day over a 10-day data collection period. Regarding sample demographics, the 15–25 age group predominated (64%), followed by the 26–35 age group (30%) and those over 36 (6%). In </w:t>
      </w:r>
      <w:r w:rsidRPr="00C33BF5">
        <w:rPr>
          <w:rFonts w:ascii="Adobe Garamond Pro" w:hAnsi="Adobe Garamond Pro"/>
          <w:lang w:val="en"/>
        </w:rPr>
        <w:lastRenderedPageBreak/>
        <w:t>terms of gender, female respondents constituted the majority at 63%, while males accounted for 37%. Regarding marital status, the majority were unmarried (68%), with 32% being married.</w:t>
      </w:r>
    </w:p>
    <w:p w14:paraId="00D9A8D8" w14:textId="77777777" w:rsidR="00C33BF5" w:rsidRPr="00C33BF5" w:rsidRDefault="00C33BF5" w:rsidP="00C33BF5">
      <w:pPr>
        <w:spacing w:after="0" w:line="240" w:lineRule="auto"/>
        <w:jc w:val="both"/>
        <w:rPr>
          <w:rFonts w:ascii="Adobe Garamond Pro" w:hAnsi="Adobe Garamond Pro"/>
          <w:b/>
          <w:bCs/>
          <w:lang w:val="en"/>
        </w:rPr>
      </w:pPr>
      <w:r w:rsidRPr="00C33BF5">
        <w:rPr>
          <w:rFonts w:ascii="Adobe Garamond Pro" w:hAnsi="Adobe Garamond Pro"/>
          <w:b/>
          <w:bCs/>
          <w:lang w:val="en"/>
        </w:rPr>
        <w:t>Analysis Techniques</w:t>
      </w:r>
    </w:p>
    <w:p w14:paraId="392F0723" w14:textId="77777777" w:rsidR="00C33BF5" w:rsidRPr="00C33BF5" w:rsidRDefault="00C33BF5" w:rsidP="00C33BF5">
      <w:pPr>
        <w:spacing w:line="240" w:lineRule="auto"/>
        <w:jc w:val="both"/>
        <w:rPr>
          <w:rFonts w:ascii="Adobe Garamond Pro" w:hAnsi="Adobe Garamond Pro"/>
        </w:rPr>
      </w:pPr>
      <w:r w:rsidRPr="00C33BF5">
        <w:rPr>
          <w:rFonts w:ascii="Adobe Garamond Pro" w:hAnsi="Adobe Garamond Pro"/>
          <w:lang w:val="en"/>
        </w:rPr>
        <w:t>The primary data analysis technique employed in this study was Multiple Linear Regression Analysis, performed using SPSS (Statistical Package for the Social Sciences) software. This method was selected due to the structural requirements of the research model, which involves more than one independent variable Customer Satisfaction and Digital Service Quality to predict a single dependent variable: Service User Loyalty. Methodologically, the application of multiple linear regression analysis in this study served three main purposes: measuring the direction and magnitude of causal relationships, conducting partial and simultaneous hypothesis testing, and calculating the model's predictive capability (coefficient of determination). For the researchers and the management of Cinema XXI Medan City, the use of multiple regression analysis offers concrete strategic benefits, specifically facilitating efficient managerial decision-making and providing standardized, scientifically grounded data. The choice to use multiple regression analysis via SPSS is based on several technical advantages: the ability to control for confounding variables, the integration of comprehensive diagnostic tests (classical assumptions), and high accuracy with minimal risk of human error.</w:t>
      </w:r>
    </w:p>
    <w:p w14:paraId="139B0E40" w14:textId="77777777" w:rsidR="00C33BF5" w:rsidRPr="006D633A" w:rsidRDefault="00C33BF5">
      <w:pPr>
        <w:tabs>
          <w:tab w:val="left" w:pos="0"/>
          <w:tab w:val="left" w:pos="360"/>
        </w:tabs>
        <w:suppressAutoHyphens/>
        <w:spacing w:after="0" w:line="360" w:lineRule="auto"/>
        <w:jc w:val="both"/>
        <w:rPr>
          <w:rFonts w:ascii="Adobe Garamond Pro" w:hAnsi="Adobe Garamond Pro" w:cstheme="minorHAnsi"/>
          <w:b/>
        </w:rPr>
      </w:pPr>
    </w:p>
    <w:p w14:paraId="00AFF5F1" w14:textId="2C3F41F0" w:rsidR="00A67F58" w:rsidRPr="00DC3EFC" w:rsidRDefault="007672DE">
      <w:pPr>
        <w:pStyle w:val="ListParagraph"/>
        <w:numPr>
          <w:ilvl w:val="0"/>
          <w:numId w:val="3"/>
        </w:numPr>
        <w:tabs>
          <w:tab w:val="left" w:pos="360"/>
        </w:tabs>
        <w:suppressAutoHyphens/>
        <w:spacing w:after="0" w:line="360" w:lineRule="auto"/>
        <w:contextualSpacing w:val="0"/>
        <w:jc w:val="both"/>
        <w:rPr>
          <w:rFonts w:ascii="Arial" w:hAnsi="Arial" w:cs="Arial"/>
          <w:b/>
          <w:color w:val="2E74B5" w:themeColor="accent1" w:themeShade="BF"/>
        </w:rPr>
      </w:pPr>
      <w:r w:rsidRPr="00DC3EFC">
        <w:rPr>
          <w:rFonts w:ascii="Arial" w:hAnsi="Arial" w:cs="Arial"/>
          <w:b/>
          <w:color w:val="2E74B5" w:themeColor="accent1" w:themeShade="BF"/>
        </w:rPr>
        <w:t xml:space="preserve">RESULT AND DISCUSSION </w:t>
      </w:r>
    </w:p>
    <w:p w14:paraId="133E505B" w14:textId="77777777" w:rsidR="00DF548B" w:rsidRPr="00DF548B" w:rsidRDefault="00DF548B" w:rsidP="00DF548B">
      <w:pPr>
        <w:spacing w:line="278" w:lineRule="auto"/>
        <w:jc w:val="both"/>
        <w:rPr>
          <w:rFonts w:ascii="Adobe Garamond Pro" w:hAnsi="Adobe Garamond Pro"/>
          <w:lang w:val="en"/>
        </w:rPr>
      </w:pPr>
      <w:r w:rsidRPr="00DF548B">
        <w:rPr>
          <w:rFonts w:ascii="Adobe Garamond Pro" w:hAnsi="Adobe Garamond Pro"/>
          <w:lang w:val="en"/>
        </w:rPr>
        <w:t>The reporting of statistical analysis results in this study aims to provide a transparent overview of the hypothesis testing process. Primary data obtained from questionnaires administered to 100 respondents—users of the m.tix application or the Cinema XXI website in Medan City—were processed using SPSS software to ensure calculation accuracy.</w:t>
      </w:r>
    </w:p>
    <w:p w14:paraId="589D69FB" w14:textId="77777777" w:rsidR="00DF548B" w:rsidRPr="00DF548B" w:rsidRDefault="00DF548B" w:rsidP="00DF548B">
      <w:pPr>
        <w:spacing w:line="278" w:lineRule="auto"/>
        <w:jc w:val="both"/>
        <w:rPr>
          <w:rFonts w:ascii="Adobe Garamond Pro" w:hAnsi="Adobe Garamond Pro"/>
          <w:lang w:val="en"/>
        </w:rPr>
      </w:pPr>
      <w:r w:rsidRPr="00DF548B">
        <w:rPr>
          <w:rFonts w:ascii="Adobe Garamond Pro" w:hAnsi="Adobe Garamond Pro"/>
          <w:lang w:val="en"/>
        </w:rPr>
        <w:t>Table 1. Respondent Profile</w:t>
      </w:r>
    </w:p>
    <w:tbl>
      <w:tblPr>
        <w:tblStyle w:val="TableGrid"/>
        <w:tblW w:w="0" w:type="auto"/>
        <w:tblLook w:val="04A0" w:firstRow="1" w:lastRow="0" w:firstColumn="1" w:lastColumn="0" w:noHBand="0" w:noVBand="1"/>
      </w:tblPr>
      <w:tblGrid>
        <w:gridCol w:w="2256"/>
        <w:gridCol w:w="2285"/>
        <w:gridCol w:w="2254"/>
        <w:gridCol w:w="2266"/>
      </w:tblGrid>
      <w:tr w:rsidR="00DF548B" w:rsidRPr="00445583" w14:paraId="7ADE8388" w14:textId="77777777" w:rsidTr="00AC2A85">
        <w:tc>
          <w:tcPr>
            <w:tcW w:w="2337" w:type="dxa"/>
          </w:tcPr>
          <w:p w14:paraId="29F7A17E" w14:textId="77777777" w:rsidR="00DF548B" w:rsidRPr="00445583" w:rsidRDefault="00DF548B" w:rsidP="00AC2A85">
            <w:pPr>
              <w:jc w:val="both"/>
              <w:rPr>
                <w:rFonts w:ascii="Adobe Garamond Pro" w:hAnsi="Adobe Garamond Pro"/>
                <w:lang w:val="en"/>
              </w:rPr>
            </w:pPr>
            <w:r w:rsidRPr="00445583">
              <w:rPr>
                <w:rFonts w:ascii="Adobe Garamond Pro" w:hAnsi="Adobe Garamond Pro"/>
                <w:lang w:val="en"/>
              </w:rPr>
              <w:t>Category</w:t>
            </w:r>
          </w:p>
        </w:tc>
        <w:tc>
          <w:tcPr>
            <w:tcW w:w="2337" w:type="dxa"/>
          </w:tcPr>
          <w:p w14:paraId="1BFB3A6A" w14:textId="77777777" w:rsidR="00DF548B" w:rsidRPr="00445583" w:rsidRDefault="00DF548B" w:rsidP="00AC2A85">
            <w:pPr>
              <w:jc w:val="both"/>
              <w:rPr>
                <w:rFonts w:ascii="Adobe Garamond Pro" w:hAnsi="Adobe Garamond Pro"/>
                <w:lang w:val="en"/>
              </w:rPr>
            </w:pPr>
            <w:r w:rsidRPr="00445583">
              <w:rPr>
                <w:rFonts w:ascii="Adobe Garamond Pro" w:hAnsi="Adobe Garamond Pro"/>
                <w:lang w:val="en"/>
              </w:rPr>
              <w:t>Demographics</w:t>
            </w:r>
          </w:p>
        </w:tc>
        <w:tc>
          <w:tcPr>
            <w:tcW w:w="2338" w:type="dxa"/>
          </w:tcPr>
          <w:p w14:paraId="0FFCAD9B" w14:textId="77777777" w:rsidR="00DF548B" w:rsidRPr="00445583" w:rsidRDefault="00DF548B" w:rsidP="00AC2A85">
            <w:pPr>
              <w:jc w:val="both"/>
              <w:rPr>
                <w:rFonts w:ascii="Adobe Garamond Pro" w:hAnsi="Adobe Garamond Pro"/>
                <w:lang w:val="en"/>
              </w:rPr>
            </w:pPr>
            <w:r w:rsidRPr="00445583">
              <w:rPr>
                <w:rFonts w:ascii="Adobe Garamond Pro" w:hAnsi="Adobe Garamond Pro"/>
                <w:lang w:val="en"/>
              </w:rPr>
              <w:t>Number (People)</w:t>
            </w:r>
          </w:p>
        </w:tc>
        <w:tc>
          <w:tcPr>
            <w:tcW w:w="2338" w:type="dxa"/>
          </w:tcPr>
          <w:p w14:paraId="6B9CD684" w14:textId="77777777" w:rsidR="00DF548B" w:rsidRPr="00445583" w:rsidRDefault="00DF548B" w:rsidP="00AC2A85">
            <w:pPr>
              <w:jc w:val="both"/>
              <w:rPr>
                <w:rFonts w:ascii="Adobe Garamond Pro" w:hAnsi="Adobe Garamond Pro"/>
                <w:lang w:val="en"/>
              </w:rPr>
            </w:pPr>
            <w:r w:rsidRPr="00445583">
              <w:rPr>
                <w:rFonts w:ascii="Adobe Garamond Pro" w:hAnsi="Adobe Garamond Pro"/>
                <w:lang w:val="en"/>
              </w:rPr>
              <w:t>Percentage (%)</w:t>
            </w:r>
          </w:p>
        </w:tc>
      </w:tr>
      <w:tr w:rsidR="00DF548B" w:rsidRPr="00445583" w14:paraId="7C64B283" w14:textId="77777777" w:rsidTr="00AC2A85">
        <w:tc>
          <w:tcPr>
            <w:tcW w:w="2337" w:type="dxa"/>
          </w:tcPr>
          <w:p w14:paraId="4568E2BB" w14:textId="77777777" w:rsidR="00DF548B" w:rsidRPr="00445583" w:rsidRDefault="00DF548B" w:rsidP="00AC2A85">
            <w:pPr>
              <w:jc w:val="both"/>
              <w:rPr>
                <w:rFonts w:ascii="Adobe Garamond Pro" w:hAnsi="Adobe Garamond Pro"/>
                <w:lang w:val="en"/>
              </w:rPr>
            </w:pPr>
            <w:r w:rsidRPr="00445583">
              <w:rPr>
                <w:rFonts w:ascii="Adobe Garamond Pro" w:hAnsi="Adobe Garamond Pro"/>
                <w:lang w:val="en"/>
              </w:rPr>
              <w:t>Age</w:t>
            </w:r>
          </w:p>
        </w:tc>
        <w:tc>
          <w:tcPr>
            <w:tcW w:w="2337" w:type="dxa"/>
          </w:tcPr>
          <w:p w14:paraId="63CEF02E" w14:textId="77777777" w:rsidR="00DF548B" w:rsidRPr="00445583" w:rsidRDefault="00DF548B" w:rsidP="00AC2A85">
            <w:pPr>
              <w:jc w:val="both"/>
              <w:rPr>
                <w:rFonts w:ascii="Adobe Garamond Pro" w:hAnsi="Adobe Garamond Pro"/>
                <w:lang w:val="en"/>
              </w:rPr>
            </w:pPr>
            <w:r w:rsidRPr="00445583">
              <w:rPr>
                <w:rFonts w:ascii="Adobe Garamond Pro" w:hAnsi="Adobe Garamond Pro"/>
                <w:lang w:val="en"/>
              </w:rPr>
              <w:t>15 – 25 years</w:t>
            </w:r>
          </w:p>
        </w:tc>
        <w:tc>
          <w:tcPr>
            <w:tcW w:w="2338" w:type="dxa"/>
          </w:tcPr>
          <w:p w14:paraId="14E10328" w14:textId="77777777" w:rsidR="00DF548B" w:rsidRPr="00445583" w:rsidRDefault="00DF548B" w:rsidP="00AC2A85">
            <w:pPr>
              <w:jc w:val="both"/>
              <w:rPr>
                <w:rFonts w:ascii="Adobe Garamond Pro" w:hAnsi="Adobe Garamond Pro"/>
                <w:lang w:val="en"/>
              </w:rPr>
            </w:pPr>
            <w:r w:rsidRPr="00445583">
              <w:rPr>
                <w:rFonts w:ascii="Adobe Garamond Pro" w:hAnsi="Adobe Garamond Pro"/>
                <w:lang w:val="en"/>
              </w:rPr>
              <w:t>64</w:t>
            </w:r>
          </w:p>
        </w:tc>
        <w:tc>
          <w:tcPr>
            <w:tcW w:w="2338" w:type="dxa"/>
          </w:tcPr>
          <w:p w14:paraId="1742E555" w14:textId="77777777" w:rsidR="00DF548B" w:rsidRPr="00445583" w:rsidRDefault="00DF548B" w:rsidP="00AC2A85">
            <w:pPr>
              <w:jc w:val="both"/>
              <w:rPr>
                <w:rFonts w:ascii="Adobe Garamond Pro" w:hAnsi="Adobe Garamond Pro"/>
                <w:lang w:val="en"/>
              </w:rPr>
            </w:pPr>
            <w:r w:rsidRPr="00445583">
              <w:rPr>
                <w:rFonts w:ascii="Adobe Garamond Pro" w:hAnsi="Adobe Garamond Pro"/>
                <w:lang w:val="en"/>
              </w:rPr>
              <w:t>64%</w:t>
            </w:r>
          </w:p>
        </w:tc>
      </w:tr>
      <w:tr w:rsidR="00DF548B" w:rsidRPr="00445583" w14:paraId="7AA45406" w14:textId="77777777" w:rsidTr="00AC2A85">
        <w:tc>
          <w:tcPr>
            <w:tcW w:w="2337" w:type="dxa"/>
          </w:tcPr>
          <w:p w14:paraId="3E21341E" w14:textId="77777777" w:rsidR="00DF548B" w:rsidRPr="00445583" w:rsidRDefault="00DF548B" w:rsidP="00AC2A85">
            <w:pPr>
              <w:jc w:val="both"/>
              <w:rPr>
                <w:rFonts w:ascii="Adobe Garamond Pro" w:hAnsi="Adobe Garamond Pro"/>
                <w:lang w:val="en"/>
              </w:rPr>
            </w:pPr>
          </w:p>
        </w:tc>
        <w:tc>
          <w:tcPr>
            <w:tcW w:w="2337" w:type="dxa"/>
          </w:tcPr>
          <w:p w14:paraId="1AD9255D" w14:textId="77777777" w:rsidR="00DF548B" w:rsidRPr="00445583" w:rsidRDefault="00DF548B" w:rsidP="00AC2A85">
            <w:pPr>
              <w:jc w:val="both"/>
              <w:rPr>
                <w:rFonts w:ascii="Adobe Garamond Pro" w:hAnsi="Adobe Garamond Pro"/>
                <w:lang w:val="en"/>
              </w:rPr>
            </w:pPr>
            <w:r w:rsidRPr="00445583">
              <w:rPr>
                <w:rFonts w:ascii="Adobe Garamond Pro" w:hAnsi="Adobe Garamond Pro"/>
                <w:lang w:val="en"/>
              </w:rPr>
              <w:t>26 – 35 years</w:t>
            </w:r>
          </w:p>
        </w:tc>
        <w:tc>
          <w:tcPr>
            <w:tcW w:w="2338" w:type="dxa"/>
          </w:tcPr>
          <w:p w14:paraId="177B18AF" w14:textId="77777777" w:rsidR="00DF548B" w:rsidRPr="00445583" w:rsidRDefault="00DF548B" w:rsidP="00AC2A85">
            <w:pPr>
              <w:jc w:val="both"/>
              <w:rPr>
                <w:rFonts w:ascii="Adobe Garamond Pro" w:hAnsi="Adobe Garamond Pro"/>
                <w:lang w:val="en"/>
              </w:rPr>
            </w:pPr>
            <w:r w:rsidRPr="00445583">
              <w:rPr>
                <w:rFonts w:ascii="Adobe Garamond Pro" w:hAnsi="Adobe Garamond Pro"/>
                <w:lang w:val="en"/>
              </w:rPr>
              <w:t>30</w:t>
            </w:r>
          </w:p>
        </w:tc>
        <w:tc>
          <w:tcPr>
            <w:tcW w:w="2338" w:type="dxa"/>
          </w:tcPr>
          <w:p w14:paraId="686EB861" w14:textId="77777777" w:rsidR="00DF548B" w:rsidRPr="00445583" w:rsidRDefault="00DF548B" w:rsidP="00AC2A85">
            <w:pPr>
              <w:jc w:val="both"/>
              <w:rPr>
                <w:rFonts w:ascii="Adobe Garamond Pro" w:hAnsi="Adobe Garamond Pro"/>
                <w:lang w:val="en"/>
              </w:rPr>
            </w:pPr>
            <w:r w:rsidRPr="00445583">
              <w:rPr>
                <w:rFonts w:ascii="Adobe Garamond Pro" w:hAnsi="Adobe Garamond Pro"/>
                <w:lang w:val="en"/>
              </w:rPr>
              <w:t>30%</w:t>
            </w:r>
          </w:p>
        </w:tc>
      </w:tr>
      <w:tr w:rsidR="00DF548B" w:rsidRPr="00445583" w14:paraId="6EB2AEA4" w14:textId="77777777" w:rsidTr="00AC2A85">
        <w:tc>
          <w:tcPr>
            <w:tcW w:w="2337" w:type="dxa"/>
          </w:tcPr>
          <w:p w14:paraId="0D3874E0" w14:textId="77777777" w:rsidR="00DF548B" w:rsidRPr="00445583" w:rsidRDefault="00DF548B" w:rsidP="00AC2A85">
            <w:pPr>
              <w:jc w:val="both"/>
              <w:rPr>
                <w:rFonts w:ascii="Adobe Garamond Pro" w:hAnsi="Adobe Garamond Pro"/>
                <w:lang w:val="en"/>
              </w:rPr>
            </w:pPr>
          </w:p>
        </w:tc>
        <w:tc>
          <w:tcPr>
            <w:tcW w:w="2337" w:type="dxa"/>
          </w:tcPr>
          <w:p w14:paraId="49E8713E" w14:textId="77777777" w:rsidR="00DF548B" w:rsidRPr="00445583" w:rsidRDefault="00DF548B" w:rsidP="00AC2A85">
            <w:pPr>
              <w:jc w:val="both"/>
              <w:rPr>
                <w:rFonts w:ascii="Adobe Garamond Pro" w:hAnsi="Adobe Garamond Pro"/>
                <w:lang w:val="en"/>
              </w:rPr>
            </w:pPr>
            <w:r w:rsidRPr="00445583">
              <w:rPr>
                <w:rFonts w:ascii="Adobe Garamond Pro" w:hAnsi="Adobe Garamond Pro"/>
                <w:lang w:val="en"/>
              </w:rPr>
              <w:t>&gt;36 years</w:t>
            </w:r>
          </w:p>
        </w:tc>
        <w:tc>
          <w:tcPr>
            <w:tcW w:w="2338" w:type="dxa"/>
          </w:tcPr>
          <w:p w14:paraId="754D3661" w14:textId="77777777" w:rsidR="00DF548B" w:rsidRPr="00445583" w:rsidRDefault="00DF548B" w:rsidP="00AC2A85">
            <w:pPr>
              <w:jc w:val="both"/>
              <w:rPr>
                <w:rFonts w:ascii="Adobe Garamond Pro" w:hAnsi="Adobe Garamond Pro"/>
                <w:lang w:val="en"/>
              </w:rPr>
            </w:pPr>
            <w:r w:rsidRPr="00445583">
              <w:rPr>
                <w:rFonts w:ascii="Adobe Garamond Pro" w:hAnsi="Adobe Garamond Pro"/>
                <w:lang w:val="en"/>
              </w:rPr>
              <w:t>6</w:t>
            </w:r>
          </w:p>
        </w:tc>
        <w:tc>
          <w:tcPr>
            <w:tcW w:w="2338" w:type="dxa"/>
          </w:tcPr>
          <w:p w14:paraId="2E2C25CB" w14:textId="77777777" w:rsidR="00DF548B" w:rsidRPr="00445583" w:rsidRDefault="00DF548B" w:rsidP="00AC2A85">
            <w:pPr>
              <w:jc w:val="both"/>
              <w:rPr>
                <w:rFonts w:ascii="Adobe Garamond Pro" w:hAnsi="Adobe Garamond Pro"/>
                <w:lang w:val="en"/>
              </w:rPr>
            </w:pPr>
            <w:r w:rsidRPr="00445583">
              <w:rPr>
                <w:rFonts w:ascii="Adobe Garamond Pro" w:hAnsi="Adobe Garamond Pro"/>
                <w:lang w:val="en"/>
              </w:rPr>
              <w:t>6%</w:t>
            </w:r>
          </w:p>
        </w:tc>
      </w:tr>
      <w:tr w:rsidR="00DF548B" w:rsidRPr="00445583" w14:paraId="4C8171CA" w14:textId="77777777" w:rsidTr="00AC2A85">
        <w:tc>
          <w:tcPr>
            <w:tcW w:w="2337" w:type="dxa"/>
          </w:tcPr>
          <w:p w14:paraId="57E2B7DF" w14:textId="77777777" w:rsidR="00DF548B" w:rsidRPr="00445583" w:rsidRDefault="00DF548B" w:rsidP="00AC2A85">
            <w:pPr>
              <w:jc w:val="both"/>
              <w:rPr>
                <w:rFonts w:ascii="Adobe Garamond Pro" w:hAnsi="Adobe Garamond Pro"/>
                <w:lang w:val="en"/>
              </w:rPr>
            </w:pPr>
            <w:r w:rsidRPr="00445583">
              <w:rPr>
                <w:rFonts w:ascii="Adobe Garamond Pro" w:hAnsi="Adobe Garamond Pro"/>
                <w:lang w:val="en"/>
              </w:rPr>
              <w:t>Gender</w:t>
            </w:r>
          </w:p>
        </w:tc>
        <w:tc>
          <w:tcPr>
            <w:tcW w:w="2337" w:type="dxa"/>
          </w:tcPr>
          <w:p w14:paraId="2FB4CE3D" w14:textId="77777777" w:rsidR="00DF548B" w:rsidRPr="00445583" w:rsidRDefault="00DF548B" w:rsidP="00AC2A85">
            <w:pPr>
              <w:jc w:val="both"/>
              <w:rPr>
                <w:rFonts w:ascii="Adobe Garamond Pro" w:hAnsi="Adobe Garamond Pro"/>
                <w:lang w:val="en"/>
              </w:rPr>
            </w:pPr>
            <w:r w:rsidRPr="00445583">
              <w:rPr>
                <w:rFonts w:ascii="Adobe Garamond Pro" w:hAnsi="Adobe Garamond Pro"/>
                <w:lang w:val="en"/>
              </w:rPr>
              <w:t>Male</w:t>
            </w:r>
          </w:p>
        </w:tc>
        <w:tc>
          <w:tcPr>
            <w:tcW w:w="2338" w:type="dxa"/>
          </w:tcPr>
          <w:p w14:paraId="4658C709" w14:textId="77777777" w:rsidR="00DF548B" w:rsidRPr="00445583" w:rsidRDefault="00DF548B" w:rsidP="00AC2A85">
            <w:pPr>
              <w:jc w:val="both"/>
              <w:rPr>
                <w:rFonts w:ascii="Adobe Garamond Pro" w:hAnsi="Adobe Garamond Pro"/>
                <w:lang w:val="en"/>
              </w:rPr>
            </w:pPr>
            <w:r w:rsidRPr="00445583">
              <w:rPr>
                <w:rFonts w:ascii="Adobe Garamond Pro" w:hAnsi="Adobe Garamond Pro"/>
                <w:lang w:val="en"/>
              </w:rPr>
              <w:t>37</w:t>
            </w:r>
          </w:p>
        </w:tc>
        <w:tc>
          <w:tcPr>
            <w:tcW w:w="2338" w:type="dxa"/>
          </w:tcPr>
          <w:p w14:paraId="56D88C0B" w14:textId="77777777" w:rsidR="00DF548B" w:rsidRPr="00445583" w:rsidRDefault="00DF548B" w:rsidP="00AC2A85">
            <w:pPr>
              <w:jc w:val="both"/>
              <w:rPr>
                <w:rFonts w:ascii="Adobe Garamond Pro" w:hAnsi="Adobe Garamond Pro"/>
                <w:lang w:val="en"/>
              </w:rPr>
            </w:pPr>
            <w:r w:rsidRPr="00445583">
              <w:rPr>
                <w:rFonts w:ascii="Adobe Garamond Pro" w:hAnsi="Adobe Garamond Pro"/>
                <w:lang w:val="en"/>
              </w:rPr>
              <w:t>37%</w:t>
            </w:r>
          </w:p>
        </w:tc>
      </w:tr>
      <w:tr w:rsidR="00DF548B" w:rsidRPr="00445583" w14:paraId="4F0DB5B5" w14:textId="77777777" w:rsidTr="00AC2A85">
        <w:tc>
          <w:tcPr>
            <w:tcW w:w="2337" w:type="dxa"/>
          </w:tcPr>
          <w:p w14:paraId="1CF72C86" w14:textId="77777777" w:rsidR="00DF548B" w:rsidRPr="00445583" w:rsidRDefault="00DF548B" w:rsidP="00AC2A85">
            <w:pPr>
              <w:jc w:val="both"/>
              <w:rPr>
                <w:rFonts w:ascii="Adobe Garamond Pro" w:hAnsi="Adobe Garamond Pro"/>
                <w:lang w:val="en"/>
              </w:rPr>
            </w:pPr>
          </w:p>
        </w:tc>
        <w:tc>
          <w:tcPr>
            <w:tcW w:w="2337" w:type="dxa"/>
          </w:tcPr>
          <w:p w14:paraId="5173D7DC" w14:textId="77777777" w:rsidR="00DF548B" w:rsidRPr="00445583" w:rsidRDefault="00DF548B" w:rsidP="00AC2A85">
            <w:pPr>
              <w:jc w:val="both"/>
              <w:rPr>
                <w:rFonts w:ascii="Adobe Garamond Pro" w:hAnsi="Adobe Garamond Pro"/>
                <w:lang w:val="en"/>
              </w:rPr>
            </w:pPr>
            <w:r w:rsidRPr="00445583">
              <w:rPr>
                <w:rFonts w:ascii="Adobe Garamond Pro" w:hAnsi="Adobe Garamond Pro"/>
                <w:lang w:val="en"/>
              </w:rPr>
              <w:t>Female</w:t>
            </w:r>
          </w:p>
        </w:tc>
        <w:tc>
          <w:tcPr>
            <w:tcW w:w="2338" w:type="dxa"/>
          </w:tcPr>
          <w:p w14:paraId="642D0230" w14:textId="77777777" w:rsidR="00DF548B" w:rsidRPr="00445583" w:rsidRDefault="00DF548B" w:rsidP="00AC2A85">
            <w:pPr>
              <w:jc w:val="both"/>
              <w:rPr>
                <w:rFonts w:ascii="Adobe Garamond Pro" w:hAnsi="Adobe Garamond Pro"/>
                <w:lang w:val="en"/>
              </w:rPr>
            </w:pPr>
            <w:r w:rsidRPr="00445583">
              <w:rPr>
                <w:rFonts w:ascii="Adobe Garamond Pro" w:hAnsi="Adobe Garamond Pro"/>
                <w:lang w:val="en"/>
              </w:rPr>
              <w:t>63</w:t>
            </w:r>
          </w:p>
        </w:tc>
        <w:tc>
          <w:tcPr>
            <w:tcW w:w="2338" w:type="dxa"/>
          </w:tcPr>
          <w:p w14:paraId="2DB9E187" w14:textId="77777777" w:rsidR="00DF548B" w:rsidRPr="00445583" w:rsidRDefault="00DF548B" w:rsidP="00AC2A85">
            <w:pPr>
              <w:jc w:val="both"/>
              <w:rPr>
                <w:rFonts w:ascii="Adobe Garamond Pro" w:hAnsi="Adobe Garamond Pro"/>
                <w:lang w:val="en"/>
              </w:rPr>
            </w:pPr>
            <w:r w:rsidRPr="00445583">
              <w:rPr>
                <w:rFonts w:ascii="Adobe Garamond Pro" w:hAnsi="Adobe Garamond Pro"/>
                <w:lang w:val="en"/>
              </w:rPr>
              <w:t>63%</w:t>
            </w:r>
          </w:p>
        </w:tc>
      </w:tr>
      <w:tr w:rsidR="00DF548B" w:rsidRPr="00445583" w14:paraId="66B2F668" w14:textId="77777777" w:rsidTr="00AC2A85">
        <w:tc>
          <w:tcPr>
            <w:tcW w:w="2337" w:type="dxa"/>
          </w:tcPr>
          <w:p w14:paraId="5C00CD66" w14:textId="77777777" w:rsidR="00DF548B" w:rsidRPr="00445583" w:rsidRDefault="00DF548B" w:rsidP="00AC2A85">
            <w:pPr>
              <w:jc w:val="both"/>
              <w:rPr>
                <w:rFonts w:ascii="Adobe Garamond Pro" w:hAnsi="Adobe Garamond Pro"/>
                <w:lang w:val="en"/>
              </w:rPr>
            </w:pPr>
            <w:r w:rsidRPr="00445583">
              <w:rPr>
                <w:rFonts w:ascii="Adobe Garamond Pro" w:hAnsi="Adobe Garamond Pro"/>
                <w:lang w:val="en"/>
              </w:rPr>
              <w:t>Marital Status</w:t>
            </w:r>
          </w:p>
        </w:tc>
        <w:tc>
          <w:tcPr>
            <w:tcW w:w="2337" w:type="dxa"/>
          </w:tcPr>
          <w:p w14:paraId="25D4AA6F" w14:textId="77777777" w:rsidR="00DF548B" w:rsidRPr="00445583" w:rsidRDefault="00DF548B" w:rsidP="00AC2A85">
            <w:pPr>
              <w:jc w:val="both"/>
              <w:rPr>
                <w:rFonts w:ascii="Adobe Garamond Pro" w:hAnsi="Adobe Garamond Pro"/>
                <w:lang w:val="en"/>
              </w:rPr>
            </w:pPr>
            <w:r w:rsidRPr="00445583">
              <w:rPr>
                <w:rFonts w:ascii="Adobe Garamond Pro" w:hAnsi="Adobe Garamond Pro"/>
                <w:lang w:val="en"/>
              </w:rPr>
              <w:t>Married</w:t>
            </w:r>
          </w:p>
        </w:tc>
        <w:tc>
          <w:tcPr>
            <w:tcW w:w="2338" w:type="dxa"/>
          </w:tcPr>
          <w:p w14:paraId="6A9B18C6" w14:textId="77777777" w:rsidR="00DF548B" w:rsidRPr="00445583" w:rsidRDefault="00DF548B" w:rsidP="00AC2A85">
            <w:pPr>
              <w:jc w:val="both"/>
              <w:rPr>
                <w:rFonts w:ascii="Adobe Garamond Pro" w:hAnsi="Adobe Garamond Pro"/>
                <w:lang w:val="en"/>
              </w:rPr>
            </w:pPr>
            <w:r w:rsidRPr="00445583">
              <w:rPr>
                <w:rFonts w:ascii="Adobe Garamond Pro" w:hAnsi="Adobe Garamond Pro"/>
                <w:lang w:val="en"/>
              </w:rPr>
              <w:t>32</w:t>
            </w:r>
          </w:p>
        </w:tc>
        <w:tc>
          <w:tcPr>
            <w:tcW w:w="2338" w:type="dxa"/>
          </w:tcPr>
          <w:p w14:paraId="5B124376" w14:textId="77777777" w:rsidR="00DF548B" w:rsidRPr="00445583" w:rsidRDefault="00DF548B" w:rsidP="00AC2A85">
            <w:pPr>
              <w:jc w:val="both"/>
              <w:rPr>
                <w:rFonts w:ascii="Adobe Garamond Pro" w:hAnsi="Adobe Garamond Pro"/>
                <w:lang w:val="en"/>
              </w:rPr>
            </w:pPr>
            <w:r w:rsidRPr="00445583">
              <w:rPr>
                <w:rFonts w:ascii="Adobe Garamond Pro" w:hAnsi="Adobe Garamond Pro"/>
                <w:lang w:val="en"/>
              </w:rPr>
              <w:t>32%</w:t>
            </w:r>
          </w:p>
        </w:tc>
      </w:tr>
      <w:tr w:rsidR="00DF548B" w:rsidRPr="00445583" w14:paraId="00500C19" w14:textId="77777777" w:rsidTr="00AC2A85">
        <w:tc>
          <w:tcPr>
            <w:tcW w:w="2337" w:type="dxa"/>
          </w:tcPr>
          <w:p w14:paraId="7AA3ED3D" w14:textId="77777777" w:rsidR="00DF548B" w:rsidRPr="00445583" w:rsidRDefault="00DF548B" w:rsidP="00AC2A85">
            <w:pPr>
              <w:jc w:val="both"/>
              <w:rPr>
                <w:rFonts w:ascii="Adobe Garamond Pro" w:hAnsi="Adobe Garamond Pro"/>
                <w:lang w:val="en"/>
              </w:rPr>
            </w:pPr>
          </w:p>
        </w:tc>
        <w:tc>
          <w:tcPr>
            <w:tcW w:w="2337" w:type="dxa"/>
          </w:tcPr>
          <w:p w14:paraId="7DD127DB" w14:textId="77777777" w:rsidR="00DF548B" w:rsidRPr="00445583" w:rsidRDefault="00DF548B" w:rsidP="00AC2A85">
            <w:pPr>
              <w:jc w:val="both"/>
              <w:rPr>
                <w:rFonts w:ascii="Adobe Garamond Pro" w:hAnsi="Adobe Garamond Pro"/>
                <w:lang w:val="en"/>
              </w:rPr>
            </w:pPr>
            <w:r w:rsidRPr="00445583">
              <w:rPr>
                <w:rFonts w:ascii="Adobe Garamond Pro" w:hAnsi="Adobe Garamond Pro"/>
                <w:lang w:val="en"/>
              </w:rPr>
              <w:t>Unmarried</w:t>
            </w:r>
          </w:p>
        </w:tc>
        <w:tc>
          <w:tcPr>
            <w:tcW w:w="2338" w:type="dxa"/>
          </w:tcPr>
          <w:p w14:paraId="5BF2EF92" w14:textId="77777777" w:rsidR="00DF548B" w:rsidRPr="00445583" w:rsidRDefault="00DF548B" w:rsidP="00AC2A85">
            <w:pPr>
              <w:jc w:val="both"/>
              <w:rPr>
                <w:rFonts w:ascii="Adobe Garamond Pro" w:hAnsi="Adobe Garamond Pro"/>
                <w:lang w:val="en"/>
              </w:rPr>
            </w:pPr>
            <w:r w:rsidRPr="00445583">
              <w:rPr>
                <w:rFonts w:ascii="Adobe Garamond Pro" w:hAnsi="Adobe Garamond Pro"/>
                <w:lang w:val="en"/>
              </w:rPr>
              <w:t>68</w:t>
            </w:r>
          </w:p>
        </w:tc>
        <w:tc>
          <w:tcPr>
            <w:tcW w:w="2338" w:type="dxa"/>
          </w:tcPr>
          <w:p w14:paraId="11DDAD5A" w14:textId="77777777" w:rsidR="00DF548B" w:rsidRPr="00445583" w:rsidRDefault="00DF548B" w:rsidP="00AC2A85">
            <w:pPr>
              <w:jc w:val="both"/>
              <w:rPr>
                <w:rFonts w:ascii="Adobe Garamond Pro" w:hAnsi="Adobe Garamond Pro"/>
                <w:lang w:val="en"/>
              </w:rPr>
            </w:pPr>
            <w:r w:rsidRPr="00445583">
              <w:rPr>
                <w:rFonts w:ascii="Adobe Garamond Pro" w:hAnsi="Adobe Garamond Pro"/>
                <w:lang w:val="en"/>
              </w:rPr>
              <w:t>68%</w:t>
            </w:r>
          </w:p>
        </w:tc>
      </w:tr>
    </w:tbl>
    <w:p w14:paraId="19ECC99D" w14:textId="77777777" w:rsidR="00DF548B" w:rsidRPr="00DF548B" w:rsidRDefault="00DF548B" w:rsidP="00DF548B">
      <w:pPr>
        <w:spacing w:line="278" w:lineRule="auto"/>
        <w:jc w:val="both"/>
        <w:rPr>
          <w:rFonts w:ascii="Adobe Garamond Pro" w:hAnsi="Adobe Garamond Pro"/>
          <w:lang w:val="en"/>
        </w:rPr>
      </w:pPr>
      <w:r w:rsidRPr="00DF548B">
        <w:rPr>
          <w:rFonts w:ascii="Adobe Garamond Pro" w:hAnsi="Adobe Garamond Pro"/>
          <w:lang w:val="en"/>
        </w:rPr>
        <w:t>Source: Data processed by the author, 2026</w:t>
      </w:r>
    </w:p>
    <w:p w14:paraId="2BFF5E29" w14:textId="77777777" w:rsidR="00DF548B" w:rsidRPr="00DF548B" w:rsidRDefault="00DF548B" w:rsidP="00DF548B">
      <w:pPr>
        <w:spacing w:line="278" w:lineRule="auto"/>
        <w:jc w:val="both"/>
        <w:rPr>
          <w:rFonts w:ascii="Adobe Garamond Pro" w:hAnsi="Adobe Garamond Pro"/>
        </w:rPr>
      </w:pPr>
      <w:r w:rsidRPr="00DF548B">
        <w:rPr>
          <w:rFonts w:ascii="Adobe Garamond Pro" w:hAnsi="Adobe Garamond Pro"/>
          <w:lang w:val="en"/>
        </w:rPr>
        <w:t>Based on Table IV.1, the characteristics of Bioskop XXI digital service users in Medan City are dominated by the productive/young age group (15–25 years) at 64%, females at 63%, and a majority who are unmarried at 68%.</w:t>
      </w:r>
    </w:p>
    <w:p w14:paraId="7ECC0FBB" w14:textId="77777777" w:rsidR="00DF548B" w:rsidRPr="00DF548B" w:rsidRDefault="00DF548B" w:rsidP="00DF548B">
      <w:pPr>
        <w:spacing w:after="0" w:line="278" w:lineRule="auto"/>
        <w:jc w:val="both"/>
        <w:rPr>
          <w:rFonts w:ascii="Adobe Garamond Pro" w:hAnsi="Adobe Garamond Pro"/>
          <w:lang w:val="en"/>
        </w:rPr>
      </w:pPr>
      <w:r w:rsidRPr="00DF548B">
        <w:rPr>
          <w:rFonts w:ascii="Adobe Garamond Pro" w:hAnsi="Adobe Garamond Pro"/>
          <w:lang w:val="en"/>
        </w:rPr>
        <w:t>Classical Assumption Test Results</w:t>
      </w:r>
    </w:p>
    <w:p w14:paraId="75847E3A" w14:textId="77777777" w:rsidR="00DF548B" w:rsidRPr="00DF548B" w:rsidRDefault="00DF548B" w:rsidP="00DF548B">
      <w:pPr>
        <w:spacing w:after="0" w:line="278" w:lineRule="auto"/>
        <w:jc w:val="both"/>
        <w:rPr>
          <w:rFonts w:ascii="Adobe Garamond Pro" w:hAnsi="Adobe Garamond Pro"/>
          <w:lang w:val="en"/>
        </w:rPr>
      </w:pPr>
      <w:r w:rsidRPr="00DF548B">
        <w:rPr>
          <w:rFonts w:ascii="Adobe Garamond Pro" w:hAnsi="Adobe Garamond Pro"/>
          <w:lang w:val="en"/>
        </w:rPr>
        <w:t>Prior to conducting multiple linear regression analysis, the model must be verified as free from violations of econometric assumptions through a series of classical assumption tests. This serves as the basis for confirming that the resulting parameter estimates qualify as the Best Linear Unbiased Estimator (BLUE).</w:t>
      </w:r>
    </w:p>
    <w:p w14:paraId="76EB7CAA" w14:textId="77777777" w:rsidR="00DF548B" w:rsidRPr="00DF548B" w:rsidRDefault="00DF548B" w:rsidP="00DF548B">
      <w:pPr>
        <w:spacing w:after="0" w:line="278" w:lineRule="auto"/>
        <w:jc w:val="both"/>
        <w:rPr>
          <w:rFonts w:ascii="Adobe Garamond Pro" w:hAnsi="Adobe Garamond Pro"/>
          <w:lang w:val="en"/>
        </w:rPr>
      </w:pPr>
      <w:r w:rsidRPr="00DF548B">
        <w:rPr>
          <w:rFonts w:ascii="Adobe Garamond Pro" w:hAnsi="Adobe Garamond Pro"/>
          <w:lang w:val="en"/>
        </w:rPr>
        <w:lastRenderedPageBreak/>
        <w:t>Normality Test: Based on visual inspection, the histogram displays a symmetrical, bell-shaped curve. Consistent with this, the Normal P-Plot shows residual points clustered closely along the diagonal line. This visual evidence indicates that the residual data are normally distributed.</w:t>
      </w:r>
    </w:p>
    <w:p w14:paraId="431A80DD" w14:textId="77777777" w:rsidR="00DF548B" w:rsidRPr="00DF548B" w:rsidRDefault="00DF548B" w:rsidP="00DF548B">
      <w:pPr>
        <w:spacing w:line="278" w:lineRule="auto"/>
        <w:jc w:val="both"/>
        <w:rPr>
          <w:rFonts w:ascii="Adobe Garamond Pro" w:hAnsi="Adobe Garamond Pro"/>
          <w:lang w:val="en"/>
        </w:rPr>
      </w:pPr>
      <w:r w:rsidRPr="00DF548B">
        <w:rPr>
          <w:rFonts w:ascii="Adobe Garamond Pro" w:hAnsi="Adobe Garamond Pro"/>
          <w:lang w:val="en"/>
        </w:rPr>
        <w:t>Multicollinearity Test: This test detects the presence or absence of strong linear correlation among independent variables within the model. The testing criteria establish that a model is free from multicollinearity if the Tolerance value is &gt;0.1 and the Variance Inflation Factor (VIF) is &lt;5.</w:t>
      </w:r>
    </w:p>
    <w:p w14:paraId="6ACE88E8" w14:textId="77777777" w:rsidR="00DF548B" w:rsidRPr="00DF548B" w:rsidRDefault="00DF548B" w:rsidP="00DF548B">
      <w:pPr>
        <w:spacing w:line="278" w:lineRule="auto"/>
        <w:jc w:val="both"/>
        <w:rPr>
          <w:rFonts w:ascii="Adobe Garamond Pro" w:hAnsi="Adobe Garamond Pro"/>
          <w:lang w:val="en"/>
        </w:rPr>
      </w:pPr>
      <w:r w:rsidRPr="00DF548B">
        <w:rPr>
          <w:rFonts w:ascii="Adobe Garamond Pro" w:hAnsi="Adobe Garamond Pro"/>
          <w:lang w:val="en"/>
        </w:rPr>
        <w:t>Table 2. Multicollinearity Test</w:t>
      </w:r>
    </w:p>
    <w:tbl>
      <w:tblPr>
        <w:tblStyle w:val="TableGrid"/>
        <w:tblW w:w="0" w:type="auto"/>
        <w:tblLook w:val="04A0" w:firstRow="1" w:lastRow="0" w:firstColumn="1" w:lastColumn="0" w:noHBand="0" w:noVBand="1"/>
      </w:tblPr>
      <w:tblGrid>
        <w:gridCol w:w="1506"/>
        <w:gridCol w:w="1515"/>
        <w:gridCol w:w="1515"/>
        <w:gridCol w:w="1515"/>
        <w:gridCol w:w="1505"/>
        <w:gridCol w:w="1505"/>
      </w:tblGrid>
      <w:tr w:rsidR="00DF548B" w:rsidRPr="00D308FD" w14:paraId="4275BC9E" w14:textId="77777777" w:rsidTr="00AC2A85">
        <w:tc>
          <w:tcPr>
            <w:tcW w:w="1558" w:type="dxa"/>
          </w:tcPr>
          <w:p w14:paraId="10671855"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Model</w:t>
            </w:r>
          </w:p>
        </w:tc>
        <w:tc>
          <w:tcPr>
            <w:tcW w:w="1558" w:type="dxa"/>
          </w:tcPr>
          <w:p w14:paraId="5E1D25A8"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Correlations (Zero-order)</w:t>
            </w:r>
          </w:p>
        </w:tc>
        <w:tc>
          <w:tcPr>
            <w:tcW w:w="1558" w:type="dxa"/>
          </w:tcPr>
          <w:p w14:paraId="1F3A8163"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Correlations (Partial)</w:t>
            </w:r>
          </w:p>
        </w:tc>
        <w:tc>
          <w:tcPr>
            <w:tcW w:w="1558" w:type="dxa"/>
          </w:tcPr>
          <w:p w14:paraId="22828743"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Correlations (Part)</w:t>
            </w:r>
          </w:p>
        </w:tc>
        <w:tc>
          <w:tcPr>
            <w:tcW w:w="1559" w:type="dxa"/>
          </w:tcPr>
          <w:p w14:paraId="048BD615"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Collinearity Statistics (Tolerance)</w:t>
            </w:r>
          </w:p>
        </w:tc>
        <w:tc>
          <w:tcPr>
            <w:tcW w:w="1559" w:type="dxa"/>
          </w:tcPr>
          <w:p w14:paraId="03A094B6"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Collinearity Statistics (VIF)</w:t>
            </w:r>
          </w:p>
        </w:tc>
      </w:tr>
      <w:tr w:rsidR="00DF548B" w:rsidRPr="00D308FD" w14:paraId="774EDADF" w14:textId="77777777" w:rsidTr="00AC2A85">
        <w:tc>
          <w:tcPr>
            <w:tcW w:w="1558" w:type="dxa"/>
          </w:tcPr>
          <w:p w14:paraId="39D1E393"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1 (Constant)</w:t>
            </w:r>
          </w:p>
        </w:tc>
        <w:tc>
          <w:tcPr>
            <w:tcW w:w="1558" w:type="dxa"/>
          </w:tcPr>
          <w:p w14:paraId="441440A4"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w:t>
            </w:r>
          </w:p>
        </w:tc>
        <w:tc>
          <w:tcPr>
            <w:tcW w:w="1558" w:type="dxa"/>
          </w:tcPr>
          <w:p w14:paraId="58009CEF"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w:t>
            </w:r>
          </w:p>
        </w:tc>
        <w:tc>
          <w:tcPr>
            <w:tcW w:w="1558" w:type="dxa"/>
          </w:tcPr>
          <w:p w14:paraId="2A914FFF"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w:t>
            </w:r>
          </w:p>
        </w:tc>
        <w:tc>
          <w:tcPr>
            <w:tcW w:w="1559" w:type="dxa"/>
          </w:tcPr>
          <w:p w14:paraId="23B6B4F1"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w:t>
            </w:r>
          </w:p>
        </w:tc>
        <w:tc>
          <w:tcPr>
            <w:tcW w:w="1559" w:type="dxa"/>
          </w:tcPr>
          <w:p w14:paraId="33484A15"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w:t>
            </w:r>
          </w:p>
        </w:tc>
      </w:tr>
      <w:tr w:rsidR="00DF548B" w:rsidRPr="00D308FD" w14:paraId="3265C8D5" w14:textId="77777777" w:rsidTr="00AC2A85">
        <w:tc>
          <w:tcPr>
            <w:tcW w:w="1558" w:type="dxa"/>
          </w:tcPr>
          <w:p w14:paraId="272F95A6"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Customer Satisfaction</w:t>
            </w:r>
          </w:p>
        </w:tc>
        <w:tc>
          <w:tcPr>
            <w:tcW w:w="1558" w:type="dxa"/>
          </w:tcPr>
          <w:p w14:paraId="678CC5DD"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0.360</w:t>
            </w:r>
          </w:p>
        </w:tc>
        <w:tc>
          <w:tcPr>
            <w:tcW w:w="1558" w:type="dxa"/>
          </w:tcPr>
          <w:p w14:paraId="1E8F90D8"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0.147</w:t>
            </w:r>
          </w:p>
        </w:tc>
        <w:tc>
          <w:tcPr>
            <w:tcW w:w="1558" w:type="dxa"/>
          </w:tcPr>
          <w:p w14:paraId="04B474FB"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0.127</w:t>
            </w:r>
          </w:p>
        </w:tc>
        <w:tc>
          <w:tcPr>
            <w:tcW w:w="1559" w:type="dxa"/>
          </w:tcPr>
          <w:p w14:paraId="19F871BD"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0.748</w:t>
            </w:r>
          </w:p>
        </w:tc>
        <w:tc>
          <w:tcPr>
            <w:tcW w:w="1559" w:type="dxa"/>
          </w:tcPr>
          <w:p w14:paraId="6B302E1C"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1.336</w:t>
            </w:r>
          </w:p>
        </w:tc>
      </w:tr>
      <w:tr w:rsidR="00DF548B" w:rsidRPr="00D308FD" w14:paraId="0463FCF8" w14:textId="77777777" w:rsidTr="00AC2A85">
        <w:tc>
          <w:tcPr>
            <w:tcW w:w="1558" w:type="dxa"/>
          </w:tcPr>
          <w:p w14:paraId="05D65326"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Electronic Service Quality</w:t>
            </w:r>
          </w:p>
        </w:tc>
        <w:tc>
          <w:tcPr>
            <w:tcW w:w="1558" w:type="dxa"/>
          </w:tcPr>
          <w:p w14:paraId="0A407C06"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0.498</w:t>
            </w:r>
          </w:p>
        </w:tc>
        <w:tc>
          <w:tcPr>
            <w:tcW w:w="1558" w:type="dxa"/>
          </w:tcPr>
          <w:p w14:paraId="66E2B3E4"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0.393</w:t>
            </w:r>
          </w:p>
        </w:tc>
        <w:tc>
          <w:tcPr>
            <w:tcW w:w="1558" w:type="dxa"/>
          </w:tcPr>
          <w:p w14:paraId="221C1722"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0.367</w:t>
            </w:r>
          </w:p>
        </w:tc>
        <w:tc>
          <w:tcPr>
            <w:tcW w:w="1559" w:type="dxa"/>
          </w:tcPr>
          <w:p w14:paraId="2AB03D02"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0.748</w:t>
            </w:r>
          </w:p>
        </w:tc>
        <w:tc>
          <w:tcPr>
            <w:tcW w:w="1559" w:type="dxa"/>
          </w:tcPr>
          <w:p w14:paraId="46213E68"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1.336</w:t>
            </w:r>
          </w:p>
        </w:tc>
      </w:tr>
    </w:tbl>
    <w:p w14:paraId="0AEC59C3" w14:textId="77777777" w:rsidR="00DF548B" w:rsidRPr="00DF548B" w:rsidRDefault="00DF548B" w:rsidP="00DF548B">
      <w:pPr>
        <w:spacing w:line="278" w:lineRule="auto"/>
        <w:jc w:val="both"/>
        <w:rPr>
          <w:rFonts w:ascii="Adobe Garamond Pro" w:hAnsi="Adobe Garamond Pro"/>
          <w:lang w:val="en"/>
        </w:rPr>
      </w:pPr>
      <w:r w:rsidRPr="00DF548B">
        <w:rPr>
          <w:rFonts w:ascii="Adobe Garamond Pro" w:hAnsi="Adobe Garamond Pro"/>
          <w:lang w:val="en"/>
        </w:rPr>
        <w:t>Source: SPSS Data Processing Results, 2026</w:t>
      </w:r>
    </w:p>
    <w:p w14:paraId="283C5300" w14:textId="77777777" w:rsidR="00DF548B" w:rsidRPr="00DF548B" w:rsidRDefault="00DF548B" w:rsidP="00DF548B">
      <w:pPr>
        <w:spacing w:line="278" w:lineRule="auto"/>
        <w:jc w:val="both"/>
        <w:rPr>
          <w:rFonts w:ascii="Adobe Garamond Pro" w:hAnsi="Adobe Garamond Pro"/>
          <w:lang w:val="en"/>
        </w:rPr>
      </w:pPr>
      <w:r w:rsidRPr="00DF548B">
        <w:rPr>
          <w:rFonts w:ascii="Adobe Garamond Pro" w:hAnsi="Adobe Garamond Pro"/>
          <w:lang w:val="en"/>
        </w:rPr>
        <w:t>Based on the data in Table IV.2, the Tolerance value for both independent variables is 0.748 (&gt;0.1) and the VIF value is 1.336 (&lt;5). These results support the conclusion that the regression model is free from the bias of multicollinearity.</w:t>
      </w:r>
    </w:p>
    <w:p w14:paraId="2D48F394" w14:textId="77777777" w:rsidR="00DF548B" w:rsidRPr="00DF548B" w:rsidRDefault="00DF548B" w:rsidP="00DF548B">
      <w:pPr>
        <w:jc w:val="both"/>
        <w:rPr>
          <w:rFonts w:ascii="Adobe Garamond Pro" w:hAnsi="Adobe Garamond Pro"/>
          <w:lang w:val="en"/>
        </w:rPr>
      </w:pPr>
      <w:r w:rsidRPr="00DF548B">
        <w:rPr>
          <w:rFonts w:ascii="Adobe Garamond Pro" w:hAnsi="Adobe Garamond Pro"/>
          <w:lang w:val="en"/>
        </w:rPr>
        <w:t>Heteroskedasticity Test: Observation of the scatterplot reveals that data points are randomly distributed both above and below the 0 mark on the Y-axis and do not form a specific geometric pattern. This confirms the equality of residual variances across all observations (absence of heteroskedasticity).</w:t>
      </w:r>
    </w:p>
    <w:p w14:paraId="62B540AB" w14:textId="77777777" w:rsidR="00DF548B" w:rsidRPr="00DF548B" w:rsidRDefault="00DF548B" w:rsidP="00DF548B">
      <w:pPr>
        <w:spacing w:after="0" w:line="278" w:lineRule="auto"/>
        <w:jc w:val="both"/>
        <w:rPr>
          <w:rFonts w:ascii="Adobe Garamond Pro" w:hAnsi="Adobe Garamond Pro"/>
          <w:lang w:val="en"/>
        </w:rPr>
      </w:pPr>
      <w:r w:rsidRPr="00DF548B">
        <w:rPr>
          <w:rFonts w:ascii="Adobe Garamond Pro" w:hAnsi="Adobe Garamond Pro"/>
          <w:lang w:val="en"/>
        </w:rPr>
        <w:t>Results of Multiple Linear Regression Analysis and Partial Test (t-test)</w:t>
      </w:r>
    </w:p>
    <w:p w14:paraId="5E7EBA09" w14:textId="77777777" w:rsidR="00DF548B" w:rsidRPr="00DF548B" w:rsidRDefault="00DF548B" w:rsidP="00DF548B">
      <w:pPr>
        <w:spacing w:line="278" w:lineRule="auto"/>
        <w:jc w:val="both"/>
        <w:rPr>
          <w:rFonts w:ascii="Adobe Garamond Pro" w:hAnsi="Adobe Garamond Pro"/>
          <w:lang w:val="en"/>
        </w:rPr>
      </w:pPr>
      <w:r w:rsidRPr="00DF548B">
        <w:rPr>
          <w:rFonts w:ascii="Adobe Garamond Pro" w:hAnsi="Adobe Garamond Pro"/>
          <w:lang w:val="en"/>
        </w:rPr>
        <w:t>Multiple linear regression analysis is used to calculate the partial effect of each independent variable on the dependent variable.</w:t>
      </w:r>
    </w:p>
    <w:p w14:paraId="3EB3C3E9" w14:textId="77777777" w:rsidR="00DF548B" w:rsidRPr="00DF548B" w:rsidRDefault="00DF548B" w:rsidP="00DF548B">
      <w:pPr>
        <w:spacing w:line="278" w:lineRule="auto"/>
        <w:jc w:val="both"/>
        <w:rPr>
          <w:rFonts w:ascii="Adobe Garamond Pro" w:hAnsi="Adobe Garamond Pro"/>
          <w:lang w:val="en"/>
        </w:rPr>
      </w:pPr>
      <w:r w:rsidRPr="00DF548B">
        <w:rPr>
          <w:rFonts w:ascii="Adobe Garamond Pro" w:hAnsi="Adobe Garamond Pro"/>
          <w:lang w:val="en"/>
        </w:rPr>
        <w:t>Table 3. Results of Multiple Linear Regression &amp; t-test</w:t>
      </w:r>
    </w:p>
    <w:tbl>
      <w:tblPr>
        <w:tblStyle w:val="TableGrid"/>
        <w:tblW w:w="0" w:type="auto"/>
        <w:tblLook w:val="04A0" w:firstRow="1" w:lastRow="0" w:firstColumn="1" w:lastColumn="0" w:noHBand="0" w:noVBand="1"/>
      </w:tblPr>
      <w:tblGrid>
        <w:gridCol w:w="1513"/>
        <w:gridCol w:w="1559"/>
        <w:gridCol w:w="1559"/>
        <w:gridCol w:w="1528"/>
        <w:gridCol w:w="1451"/>
        <w:gridCol w:w="1451"/>
      </w:tblGrid>
      <w:tr w:rsidR="00DF548B" w:rsidRPr="00D308FD" w14:paraId="70C0AC42" w14:textId="77777777" w:rsidTr="00AC2A85">
        <w:tc>
          <w:tcPr>
            <w:tcW w:w="1558" w:type="dxa"/>
          </w:tcPr>
          <w:p w14:paraId="116F96EB"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Model</w:t>
            </w:r>
          </w:p>
        </w:tc>
        <w:tc>
          <w:tcPr>
            <w:tcW w:w="1558" w:type="dxa"/>
          </w:tcPr>
          <w:p w14:paraId="00FD5D9D"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Unstandardized Coefficients (B)</w:t>
            </w:r>
          </w:p>
        </w:tc>
        <w:tc>
          <w:tcPr>
            <w:tcW w:w="1558" w:type="dxa"/>
          </w:tcPr>
          <w:p w14:paraId="12FCF1E8"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Unstandardized Coefficients (Std. Error)</w:t>
            </w:r>
          </w:p>
        </w:tc>
        <w:tc>
          <w:tcPr>
            <w:tcW w:w="1558" w:type="dxa"/>
          </w:tcPr>
          <w:p w14:paraId="0CD908A8"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Standardized Coefficients (Beta)</w:t>
            </w:r>
          </w:p>
        </w:tc>
        <w:tc>
          <w:tcPr>
            <w:tcW w:w="1559" w:type="dxa"/>
          </w:tcPr>
          <w:p w14:paraId="7D2DDCEC"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t</w:t>
            </w:r>
          </w:p>
        </w:tc>
        <w:tc>
          <w:tcPr>
            <w:tcW w:w="1559" w:type="dxa"/>
          </w:tcPr>
          <w:p w14:paraId="638141A8"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Sig.</w:t>
            </w:r>
          </w:p>
        </w:tc>
      </w:tr>
      <w:tr w:rsidR="00DF548B" w:rsidRPr="00D308FD" w14:paraId="2338248D" w14:textId="77777777" w:rsidTr="00AC2A85">
        <w:tc>
          <w:tcPr>
            <w:tcW w:w="1558" w:type="dxa"/>
          </w:tcPr>
          <w:p w14:paraId="2A9D6533"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1 (Constant)</w:t>
            </w:r>
          </w:p>
        </w:tc>
        <w:tc>
          <w:tcPr>
            <w:tcW w:w="1558" w:type="dxa"/>
          </w:tcPr>
          <w:p w14:paraId="73402DDD"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44.511</w:t>
            </w:r>
          </w:p>
        </w:tc>
        <w:tc>
          <w:tcPr>
            <w:tcW w:w="1558" w:type="dxa"/>
          </w:tcPr>
          <w:p w14:paraId="002C7D69"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9.010</w:t>
            </w:r>
          </w:p>
        </w:tc>
        <w:tc>
          <w:tcPr>
            <w:tcW w:w="1558" w:type="dxa"/>
          </w:tcPr>
          <w:p w14:paraId="45D3DE04"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w:t>
            </w:r>
          </w:p>
        </w:tc>
        <w:tc>
          <w:tcPr>
            <w:tcW w:w="1559" w:type="dxa"/>
          </w:tcPr>
          <w:p w14:paraId="6BF9141F"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4.940</w:t>
            </w:r>
          </w:p>
        </w:tc>
        <w:tc>
          <w:tcPr>
            <w:tcW w:w="1559" w:type="dxa"/>
          </w:tcPr>
          <w:p w14:paraId="4D85DB3A"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0.000</w:t>
            </w:r>
          </w:p>
        </w:tc>
      </w:tr>
      <w:tr w:rsidR="00DF548B" w:rsidRPr="00D308FD" w14:paraId="6A9A29E5" w14:textId="77777777" w:rsidTr="00AC2A85">
        <w:tc>
          <w:tcPr>
            <w:tcW w:w="1558" w:type="dxa"/>
          </w:tcPr>
          <w:p w14:paraId="3BDEFEF4"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Customer Satisfaction (X_1)</w:t>
            </w:r>
          </w:p>
        </w:tc>
        <w:tc>
          <w:tcPr>
            <w:tcW w:w="1558" w:type="dxa"/>
          </w:tcPr>
          <w:p w14:paraId="74E7A649"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0.575</w:t>
            </w:r>
          </w:p>
        </w:tc>
        <w:tc>
          <w:tcPr>
            <w:tcW w:w="1558" w:type="dxa"/>
          </w:tcPr>
          <w:p w14:paraId="75E341F1"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0.393</w:t>
            </w:r>
          </w:p>
        </w:tc>
        <w:tc>
          <w:tcPr>
            <w:tcW w:w="1558" w:type="dxa"/>
          </w:tcPr>
          <w:p w14:paraId="2A65AB78"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0.147</w:t>
            </w:r>
          </w:p>
        </w:tc>
        <w:tc>
          <w:tcPr>
            <w:tcW w:w="1559" w:type="dxa"/>
          </w:tcPr>
          <w:p w14:paraId="196FEA3F"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1.462</w:t>
            </w:r>
          </w:p>
        </w:tc>
        <w:tc>
          <w:tcPr>
            <w:tcW w:w="1559" w:type="dxa"/>
          </w:tcPr>
          <w:p w14:paraId="757A2995"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0.147</w:t>
            </w:r>
          </w:p>
        </w:tc>
      </w:tr>
      <w:tr w:rsidR="00DF548B" w:rsidRPr="00D308FD" w14:paraId="68CC8A27" w14:textId="77777777" w:rsidTr="00AC2A85">
        <w:tc>
          <w:tcPr>
            <w:tcW w:w="1558" w:type="dxa"/>
          </w:tcPr>
          <w:p w14:paraId="37461E45"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Electronic Service Quality (X_2)</w:t>
            </w:r>
          </w:p>
        </w:tc>
        <w:tc>
          <w:tcPr>
            <w:tcW w:w="1558" w:type="dxa"/>
          </w:tcPr>
          <w:p w14:paraId="1803FC02"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0.633</w:t>
            </w:r>
          </w:p>
        </w:tc>
        <w:tc>
          <w:tcPr>
            <w:tcW w:w="1558" w:type="dxa"/>
          </w:tcPr>
          <w:p w14:paraId="6BE7A261"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0.150</w:t>
            </w:r>
          </w:p>
        </w:tc>
        <w:tc>
          <w:tcPr>
            <w:tcW w:w="1558" w:type="dxa"/>
          </w:tcPr>
          <w:p w14:paraId="304D5249"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0.424</w:t>
            </w:r>
          </w:p>
        </w:tc>
        <w:tc>
          <w:tcPr>
            <w:tcW w:w="1559" w:type="dxa"/>
          </w:tcPr>
          <w:p w14:paraId="215A757E"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4.212</w:t>
            </w:r>
          </w:p>
        </w:tc>
        <w:tc>
          <w:tcPr>
            <w:tcW w:w="1559" w:type="dxa"/>
          </w:tcPr>
          <w:p w14:paraId="265A1461"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0.000</w:t>
            </w:r>
          </w:p>
        </w:tc>
      </w:tr>
    </w:tbl>
    <w:p w14:paraId="09DCEDDC" w14:textId="77777777" w:rsidR="00DF548B" w:rsidRPr="00DF548B" w:rsidRDefault="00DF548B" w:rsidP="00DF548B">
      <w:pPr>
        <w:spacing w:line="278" w:lineRule="auto"/>
        <w:jc w:val="both"/>
        <w:rPr>
          <w:rFonts w:ascii="Adobe Garamond Pro" w:hAnsi="Adobe Garamond Pro"/>
          <w:lang w:val="en"/>
        </w:rPr>
      </w:pPr>
      <w:r w:rsidRPr="00DF548B">
        <w:rPr>
          <w:rFonts w:ascii="Adobe Garamond Pro" w:hAnsi="Adobe Garamond Pro"/>
          <w:lang w:val="en"/>
        </w:rPr>
        <w:t>Source: SPSS Data Processing Results, 2026</w:t>
      </w:r>
    </w:p>
    <w:p w14:paraId="7B9DD5C7" w14:textId="77777777" w:rsidR="00DF548B" w:rsidRPr="00DF548B" w:rsidRDefault="00DF548B" w:rsidP="00DF548B">
      <w:pPr>
        <w:spacing w:line="278" w:lineRule="auto"/>
        <w:jc w:val="both"/>
        <w:rPr>
          <w:rFonts w:ascii="Adobe Garamond Pro" w:hAnsi="Adobe Garamond Pro"/>
          <w:lang w:val="en"/>
        </w:rPr>
      </w:pPr>
      <w:r w:rsidRPr="00DF548B">
        <w:rPr>
          <w:rFonts w:ascii="Adobe Garamond Pro" w:hAnsi="Adobe Garamond Pro"/>
          <w:lang w:val="en"/>
        </w:rPr>
        <w:t>Based on the structural parameters in Table 3, the mathematical regression function is formulated as follows:</w:t>
      </w:r>
    </w:p>
    <w:p w14:paraId="711F30B8" w14:textId="77777777" w:rsidR="00DF548B" w:rsidRPr="00DF548B" w:rsidRDefault="00DF548B" w:rsidP="00DF548B">
      <w:pPr>
        <w:spacing w:line="278" w:lineRule="auto"/>
        <w:jc w:val="both"/>
        <w:rPr>
          <w:rFonts w:ascii="Adobe Garamond Pro" w:hAnsi="Adobe Garamond Pro"/>
          <w:lang w:val="en"/>
        </w:rPr>
      </w:pPr>
      <w:r w:rsidRPr="00DF548B">
        <w:rPr>
          <w:rFonts w:ascii="Adobe Garamond Pro" w:hAnsi="Adobe Garamond Pro"/>
          <w:lang w:val="en"/>
        </w:rPr>
        <w:lastRenderedPageBreak/>
        <w:t>Y = 44.511 + 0.575X_1 + 0.633X_2</w:t>
      </w:r>
    </w:p>
    <w:p w14:paraId="549D05BE" w14:textId="77777777" w:rsidR="00DF548B" w:rsidRPr="00DF548B" w:rsidRDefault="00DF548B" w:rsidP="00DF548B">
      <w:pPr>
        <w:spacing w:after="0" w:line="278" w:lineRule="auto"/>
        <w:jc w:val="both"/>
        <w:rPr>
          <w:rFonts w:ascii="Adobe Garamond Pro" w:hAnsi="Adobe Garamond Pro"/>
          <w:lang w:val="en"/>
        </w:rPr>
      </w:pPr>
      <w:r w:rsidRPr="00DF548B">
        <w:rPr>
          <w:rFonts w:ascii="Adobe Garamond Pro" w:hAnsi="Adobe Garamond Pro"/>
          <w:lang w:val="en"/>
        </w:rPr>
        <w:t>The statistical basis for partial hypothesis testing involves comparing the calculated t-value (t_count) with the t-table value (1.984 at α=5% and df=97) and examining the significance threshold (p-value &lt; 0.05):</w:t>
      </w:r>
    </w:p>
    <w:p w14:paraId="26F23074" w14:textId="77777777" w:rsidR="00DF548B" w:rsidRPr="00DF548B" w:rsidRDefault="00DF548B" w:rsidP="00DF548B">
      <w:pPr>
        <w:spacing w:line="278" w:lineRule="auto"/>
        <w:jc w:val="both"/>
        <w:rPr>
          <w:rFonts w:ascii="Adobe Garamond Pro" w:hAnsi="Adobe Garamond Pro"/>
          <w:lang w:val="en"/>
        </w:rPr>
      </w:pPr>
      <w:r w:rsidRPr="00DF548B">
        <w:rPr>
          <w:rFonts w:ascii="Adobe Garamond Pro" w:hAnsi="Adobe Garamond Pro"/>
          <w:lang w:val="en"/>
        </w:rPr>
        <w:t>First Hypothesis Testing (H1): The results show a calculated t-value (t_count) of 1.462, which is less than the t-table value of 1.984, with a significance level of 0.147 (greater than 0.05). Thus, H_0 is accepted and H1 is rejected, demonstrating that Customer Satisfaction  does not have a significant partial effect on Service User Retention/Loyalty at XXI Cinema Medan. Second Hypothesis Testing (H</w:t>
      </w:r>
      <w:r w:rsidRPr="00DF548B">
        <w:rPr>
          <w:rFonts w:ascii="Cambria Math" w:hAnsi="Cambria Math" w:cs="Cambria Math"/>
          <w:lang w:val="en"/>
        </w:rPr>
        <w:t>₂</w:t>
      </w:r>
      <w:r w:rsidRPr="00DF548B">
        <w:rPr>
          <w:rFonts w:ascii="Adobe Garamond Pro" w:hAnsi="Adobe Garamond Pro"/>
          <w:lang w:val="en"/>
        </w:rPr>
        <w:t>): The results show a calculated t-value (t_calc) of 4.212, which is greater than the critical t-value (t_table) of 1.984, with a significance level of 0.000 (&lt; 0.05). Thus, H</w:t>
      </w:r>
      <w:r w:rsidRPr="00DF548B">
        <w:rPr>
          <w:rFonts w:ascii="Cambria Math" w:hAnsi="Cambria Math" w:cs="Cambria Math"/>
          <w:lang w:val="en"/>
        </w:rPr>
        <w:t>₂</w:t>
      </w:r>
      <w:r w:rsidRPr="00DF548B">
        <w:rPr>
          <w:rFonts w:ascii="Adobe Garamond Pro" w:hAnsi="Adobe Garamond Pro"/>
          <w:lang w:val="en"/>
        </w:rPr>
        <w:t xml:space="preserve"> is accepted, confirming that Digital Service Quality has a positive and significant partial effect on Service User Retention/Loyalty.</w:t>
      </w:r>
    </w:p>
    <w:p w14:paraId="3439913B" w14:textId="77777777" w:rsidR="00DF548B" w:rsidRPr="00DF548B" w:rsidRDefault="00DF548B" w:rsidP="00DF548B">
      <w:pPr>
        <w:spacing w:after="0" w:line="278" w:lineRule="auto"/>
        <w:jc w:val="both"/>
        <w:rPr>
          <w:rFonts w:ascii="Adobe Garamond Pro" w:hAnsi="Adobe Garamond Pro"/>
          <w:lang w:val="en"/>
        </w:rPr>
      </w:pPr>
      <w:r w:rsidRPr="00DF548B">
        <w:rPr>
          <w:rFonts w:ascii="Adobe Garamond Pro" w:hAnsi="Adobe Garamond Pro"/>
          <w:lang w:val="en"/>
        </w:rPr>
        <w:t>Simultaneous Testing Results (F-Test)</w:t>
      </w:r>
    </w:p>
    <w:p w14:paraId="1F855C07" w14:textId="77777777" w:rsidR="00DF548B" w:rsidRPr="00DF548B" w:rsidRDefault="00DF548B" w:rsidP="00DF548B">
      <w:pPr>
        <w:spacing w:line="278" w:lineRule="auto"/>
        <w:jc w:val="both"/>
        <w:rPr>
          <w:rFonts w:ascii="Adobe Garamond Pro" w:hAnsi="Adobe Garamond Pro"/>
          <w:lang w:val="en"/>
        </w:rPr>
      </w:pPr>
      <w:r w:rsidRPr="00DF548B">
        <w:rPr>
          <w:rFonts w:ascii="Adobe Garamond Pro" w:hAnsi="Adobe Garamond Pro"/>
          <w:lang w:val="en"/>
        </w:rPr>
        <w:t>The F-test is used to determine whether all independent variables collectively exert a significant effect on the dependent variable.</w:t>
      </w:r>
    </w:p>
    <w:p w14:paraId="5A2838FB" w14:textId="77777777" w:rsidR="00DF548B" w:rsidRPr="00DF548B" w:rsidRDefault="00DF548B" w:rsidP="00DF548B">
      <w:pPr>
        <w:spacing w:line="278" w:lineRule="auto"/>
        <w:jc w:val="both"/>
        <w:rPr>
          <w:rFonts w:ascii="Adobe Garamond Pro" w:hAnsi="Adobe Garamond Pro"/>
          <w:lang w:val="en"/>
        </w:rPr>
      </w:pPr>
      <w:r w:rsidRPr="00DF548B">
        <w:rPr>
          <w:rFonts w:ascii="Adobe Garamond Pro" w:hAnsi="Adobe Garamond Pro"/>
          <w:lang w:val="en"/>
        </w:rPr>
        <w:t>Table 4. F-Test Results (ANOVA)</w:t>
      </w:r>
    </w:p>
    <w:tbl>
      <w:tblPr>
        <w:tblStyle w:val="TableGrid"/>
        <w:tblW w:w="0" w:type="auto"/>
        <w:tblLook w:val="04A0" w:firstRow="1" w:lastRow="0" w:firstColumn="1" w:lastColumn="0" w:noHBand="0" w:noVBand="1"/>
      </w:tblPr>
      <w:tblGrid>
        <w:gridCol w:w="1531"/>
        <w:gridCol w:w="1520"/>
        <w:gridCol w:w="1483"/>
        <w:gridCol w:w="1520"/>
        <w:gridCol w:w="1507"/>
        <w:gridCol w:w="1500"/>
      </w:tblGrid>
      <w:tr w:rsidR="00DF548B" w:rsidRPr="00D308FD" w14:paraId="2DE930AA" w14:textId="77777777" w:rsidTr="00AC2A85">
        <w:tc>
          <w:tcPr>
            <w:tcW w:w="1558" w:type="dxa"/>
          </w:tcPr>
          <w:p w14:paraId="541ED71D"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Model</w:t>
            </w:r>
          </w:p>
        </w:tc>
        <w:tc>
          <w:tcPr>
            <w:tcW w:w="1558" w:type="dxa"/>
          </w:tcPr>
          <w:p w14:paraId="3E2F5CE3"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Sum of Squares</w:t>
            </w:r>
          </w:p>
        </w:tc>
        <w:tc>
          <w:tcPr>
            <w:tcW w:w="1558" w:type="dxa"/>
          </w:tcPr>
          <w:p w14:paraId="3A0B32C7"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df</w:t>
            </w:r>
          </w:p>
        </w:tc>
        <w:tc>
          <w:tcPr>
            <w:tcW w:w="1558" w:type="dxa"/>
          </w:tcPr>
          <w:p w14:paraId="5AA7CC9D"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Mean Square</w:t>
            </w:r>
          </w:p>
        </w:tc>
        <w:tc>
          <w:tcPr>
            <w:tcW w:w="1559" w:type="dxa"/>
          </w:tcPr>
          <w:p w14:paraId="72619872"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F</w:t>
            </w:r>
          </w:p>
        </w:tc>
        <w:tc>
          <w:tcPr>
            <w:tcW w:w="1559" w:type="dxa"/>
          </w:tcPr>
          <w:p w14:paraId="25223F75"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Sig.</w:t>
            </w:r>
          </w:p>
        </w:tc>
      </w:tr>
      <w:tr w:rsidR="00DF548B" w:rsidRPr="00D308FD" w14:paraId="719296D8" w14:textId="77777777" w:rsidTr="00AC2A85">
        <w:tc>
          <w:tcPr>
            <w:tcW w:w="1558" w:type="dxa"/>
          </w:tcPr>
          <w:p w14:paraId="65FCB655"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1 Regression</w:t>
            </w:r>
          </w:p>
        </w:tc>
        <w:tc>
          <w:tcPr>
            <w:tcW w:w="1558" w:type="dxa"/>
          </w:tcPr>
          <w:p w14:paraId="2AEBCD25"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2177.787</w:t>
            </w:r>
          </w:p>
        </w:tc>
        <w:tc>
          <w:tcPr>
            <w:tcW w:w="1558" w:type="dxa"/>
          </w:tcPr>
          <w:p w14:paraId="3329DE5B"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2</w:t>
            </w:r>
          </w:p>
        </w:tc>
        <w:tc>
          <w:tcPr>
            <w:tcW w:w="1558" w:type="dxa"/>
          </w:tcPr>
          <w:p w14:paraId="684421B2"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1088.893</w:t>
            </w:r>
          </w:p>
        </w:tc>
        <w:tc>
          <w:tcPr>
            <w:tcW w:w="1559" w:type="dxa"/>
          </w:tcPr>
          <w:p w14:paraId="18CDA54C"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17.414</w:t>
            </w:r>
          </w:p>
        </w:tc>
        <w:tc>
          <w:tcPr>
            <w:tcW w:w="1559" w:type="dxa"/>
          </w:tcPr>
          <w:p w14:paraId="244B2336"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0.000</w:t>
            </w:r>
          </w:p>
        </w:tc>
      </w:tr>
      <w:tr w:rsidR="00DF548B" w:rsidRPr="00D308FD" w14:paraId="33BFE9D1" w14:textId="77777777" w:rsidTr="00AC2A85">
        <w:tc>
          <w:tcPr>
            <w:tcW w:w="1558" w:type="dxa"/>
          </w:tcPr>
          <w:p w14:paraId="1FB1E092"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Residual</w:t>
            </w:r>
          </w:p>
        </w:tc>
        <w:tc>
          <w:tcPr>
            <w:tcW w:w="1558" w:type="dxa"/>
          </w:tcPr>
          <w:p w14:paraId="0600FD83"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6065.373</w:t>
            </w:r>
          </w:p>
        </w:tc>
        <w:tc>
          <w:tcPr>
            <w:tcW w:w="1558" w:type="dxa"/>
          </w:tcPr>
          <w:p w14:paraId="6F0A2E1A"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97</w:t>
            </w:r>
          </w:p>
        </w:tc>
        <w:tc>
          <w:tcPr>
            <w:tcW w:w="1558" w:type="dxa"/>
          </w:tcPr>
          <w:p w14:paraId="74979F64"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62.530</w:t>
            </w:r>
          </w:p>
        </w:tc>
        <w:tc>
          <w:tcPr>
            <w:tcW w:w="1559" w:type="dxa"/>
          </w:tcPr>
          <w:p w14:paraId="77CABA95"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w:t>
            </w:r>
          </w:p>
        </w:tc>
        <w:tc>
          <w:tcPr>
            <w:tcW w:w="1559" w:type="dxa"/>
          </w:tcPr>
          <w:p w14:paraId="3764DEB0"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w:t>
            </w:r>
          </w:p>
        </w:tc>
      </w:tr>
      <w:tr w:rsidR="00DF548B" w:rsidRPr="00D308FD" w14:paraId="5B70756D" w14:textId="77777777" w:rsidTr="00AC2A85">
        <w:tc>
          <w:tcPr>
            <w:tcW w:w="1558" w:type="dxa"/>
          </w:tcPr>
          <w:p w14:paraId="6479D5A2"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Total</w:t>
            </w:r>
          </w:p>
        </w:tc>
        <w:tc>
          <w:tcPr>
            <w:tcW w:w="1558" w:type="dxa"/>
          </w:tcPr>
          <w:p w14:paraId="31059878"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8243.160</w:t>
            </w:r>
          </w:p>
        </w:tc>
        <w:tc>
          <w:tcPr>
            <w:tcW w:w="1558" w:type="dxa"/>
          </w:tcPr>
          <w:p w14:paraId="3EB70DA8"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99</w:t>
            </w:r>
          </w:p>
        </w:tc>
        <w:tc>
          <w:tcPr>
            <w:tcW w:w="1558" w:type="dxa"/>
          </w:tcPr>
          <w:p w14:paraId="0F93CC9D"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w:t>
            </w:r>
          </w:p>
        </w:tc>
        <w:tc>
          <w:tcPr>
            <w:tcW w:w="1559" w:type="dxa"/>
          </w:tcPr>
          <w:p w14:paraId="341D49B3"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w:t>
            </w:r>
          </w:p>
        </w:tc>
        <w:tc>
          <w:tcPr>
            <w:tcW w:w="1559" w:type="dxa"/>
          </w:tcPr>
          <w:p w14:paraId="62A12760"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w:t>
            </w:r>
          </w:p>
        </w:tc>
      </w:tr>
    </w:tbl>
    <w:p w14:paraId="0455B17D" w14:textId="77777777" w:rsidR="00DF548B" w:rsidRPr="00DF548B" w:rsidRDefault="00DF548B" w:rsidP="00DF548B">
      <w:pPr>
        <w:spacing w:line="278" w:lineRule="auto"/>
        <w:jc w:val="both"/>
        <w:rPr>
          <w:rFonts w:ascii="Adobe Garamond Pro" w:hAnsi="Adobe Garamond Pro"/>
          <w:lang w:val="en"/>
        </w:rPr>
      </w:pPr>
      <w:r w:rsidRPr="00DF548B">
        <w:rPr>
          <w:rFonts w:ascii="Adobe Garamond Pro" w:hAnsi="Adobe Garamond Pro"/>
          <w:lang w:val="en"/>
        </w:rPr>
        <w:t>Source: SPSS Data Processing Results, 2026</w:t>
      </w:r>
    </w:p>
    <w:p w14:paraId="6686C88C" w14:textId="77777777" w:rsidR="00DF548B" w:rsidRPr="00DF548B" w:rsidRDefault="00DF548B" w:rsidP="00DF548B">
      <w:pPr>
        <w:jc w:val="both"/>
        <w:rPr>
          <w:rFonts w:ascii="Adobe Garamond Pro" w:hAnsi="Adobe Garamond Pro"/>
          <w:lang w:val="en"/>
        </w:rPr>
      </w:pPr>
      <w:r w:rsidRPr="00DF548B">
        <w:rPr>
          <w:rFonts w:ascii="Adobe Garamond Pro" w:hAnsi="Adobe Garamond Pro"/>
          <w:lang w:val="en"/>
        </w:rPr>
        <w:t>The ANOVA calculation results in Table IV.4 show a calculated F-value (F_calc) of 17.414, which is greater than the critical F-value (F_table) of 3.09, with a significance probability of 0.000 (&lt; 0.05). These figures provide the basis for accepting H</w:t>
      </w:r>
      <w:r w:rsidRPr="00DF548B">
        <w:rPr>
          <w:rFonts w:ascii="Cambria Math" w:hAnsi="Cambria Math" w:cs="Cambria Math"/>
          <w:lang w:val="en"/>
        </w:rPr>
        <w:t>₃</w:t>
      </w:r>
      <w:r w:rsidRPr="00DF548B">
        <w:rPr>
          <w:rFonts w:ascii="Adobe Garamond Pro" w:hAnsi="Adobe Garamond Pro"/>
          <w:lang w:val="en"/>
        </w:rPr>
        <w:t>, indicating that Customer Satisfaction and Digital Service Quality simultaneously (collectively) have a significant effect on the Service User Retention/Loyalty of XXI Cinema in Medan City.</w:t>
      </w:r>
    </w:p>
    <w:p w14:paraId="5BC88F47" w14:textId="77777777" w:rsidR="00DF548B" w:rsidRPr="00DF548B" w:rsidRDefault="00DF548B" w:rsidP="00DF548B">
      <w:pPr>
        <w:spacing w:after="0" w:line="278" w:lineRule="auto"/>
        <w:jc w:val="both"/>
        <w:rPr>
          <w:rFonts w:ascii="Adobe Garamond Pro" w:hAnsi="Adobe Garamond Pro"/>
          <w:lang w:val="en"/>
        </w:rPr>
      </w:pPr>
      <w:r w:rsidRPr="00DF548B">
        <w:rPr>
          <w:rFonts w:ascii="Adobe Garamond Pro" w:hAnsi="Adobe Garamond Pro"/>
          <w:lang w:val="en"/>
        </w:rPr>
        <w:t>Coefficient of Determination (R²) Test</w:t>
      </w:r>
    </w:p>
    <w:p w14:paraId="382D90A1" w14:textId="77777777" w:rsidR="00DF548B" w:rsidRPr="00DF548B" w:rsidRDefault="00DF548B" w:rsidP="00DF548B">
      <w:pPr>
        <w:spacing w:line="278" w:lineRule="auto"/>
        <w:jc w:val="both"/>
        <w:rPr>
          <w:rFonts w:ascii="Adobe Garamond Pro" w:hAnsi="Adobe Garamond Pro"/>
          <w:lang w:val="en"/>
        </w:rPr>
      </w:pPr>
      <w:r w:rsidRPr="00DF548B">
        <w:rPr>
          <w:rFonts w:ascii="Adobe Garamond Pro" w:hAnsi="Adobe Garamond Pro"/>
          <w:lang w:val="en"/>
        </w:rPr>
        <w:t>The coefficient of determination is used to measure the extent to which variations in the independent variables contribute to explaining fluctuations in the dependent variable.</w:t>
      </w:r>
    </w:p>
    <w:p w14:paraId="4712314D" w14:textId="77777777" w:rsidR="00DF548B" w:rsidRPr="00DF548B" w:rsidRDefault="00DF548B" w:rsidP="00DF548B">
      <w:pPr>
        <w:spacing w:line="278" w:lineRule="auto"/>
        <w:jc w:val="both"/>
        <w:rPr>
          <w:rFonts w:ascii="Adobe Garamond Pro" w:hAnsi="Adobe Garamond Pro"/>
          <w:lang w:val="en"/>
        </w:rPr>
      </w:pPr>
      <w:r w:rsidRPr="00DF548B">
        <w:rPr>
          <w:rFonts w:ascii="Adobe Garamond Pro" w:hAnsi="Adobe Garamond Pro"/>
          <w:lang w:val="en"/>
        </w:rPr>
        <w:t>Table 5. Coefficient of Determination (Model Summary)</w:t>
      </w:r>
    </w:p>
    <w:tbl>
      <w:tblPr>
        <w:tblStyle w:val="TableGrid"/>
        <w:tblW w:w="0" w:type="auto"/>
        <w:tblLook w:val="04A0" w:firstRow="1" w:lastRow="0" w:firstColumn="1" w:lastColumn="0" w:noHBand="0" w:noVBand="1"/>
      </w:tblPr>
      <w:tblGrid>
        <w:gridCol w:w="1129"/>
        <w:gridCol w:w="1120"/>
        <w:gridCol w:w="1132"/>
        <w:gridCol w:w="1150"/>
        <w:gridCol w:w="1149"/>
        <w:gridCol w:w="1139"/>
        <w:gridCol w:w="1139"/>
        <w:gridCol w:w="1103"/>
      </w:tblGrid>
      <w:tr w:rsidR="00DF548B" w:rsidRPr="00D308FD" w14:paraId="084F02AC" w14:textId="77777777" w:rsidTr="00AC2A85">
        <w:tc>
          <w:tcPr>
            <w:tcW w:w="1168" w:type="dxa"/>
          </w:tcPr>
          <w:p w14:paraId="1FFA3562"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Model</w:t>
            </w:r>
          </w:p>
        </w:tc>
        <w:tc>
          <w:tcPr>
            <w:tcW w:w="1168" w:type="dxa"/>
          </w:tcPr>
          <w:p w14:paraId="5CDEC558"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R</w:t>
            </w:r>
          </w:p>
        </w:tc>
        <w:tc>
          <w:tcPr>
            <w:tcW w:w="1169" w:type="dxa"/>
          </w:tcPr>
          <w:p w14:paraId="6945AB84"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R Square</w:t>
            </w:r>
          </w:p>
        </w:tc>
        <w:tc>
          <w:tcPr>
            <w:tcW w:w="1169" w:type="dxa"/>
          </w:tcPr>
          <w:p w14:paraId="30D1CC08"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Adjusted R Square</w:t>
            </w:r>
          </w:p>
        </w:tc>
        <w:tc>
          <w:tcPr>
            <w:tcW w:w="1169" w:type="dxa"/>
          </w:tcPr>
          <w:p w14:paraId="7B8D2A04"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Std. Error of the Estimate</w:t>
            </w:r>
          </w:p>
        </w:tc>
        <w:tc>
          <w:tcPr>
            <w:tcW w:w="1169" w:type="dxa"/>
          </w:tcPr>
          <w:p w14:paraId="7191D6DB"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R Square Change</w:t>
            </w:r>
          </w:p>
        </w:tc>
        <w:tc>
          <w:tcPr>
            <w:tcW w:w="1169" w:type="dxa"/>
          </w:tcPr>
          <w:p w14:paraId="02EC960F"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F Change</w:t>
            </w:r>
          </w:p>
        </w:tc>
        <w:tc>
          <w:tcPr>
            <w:tcW w:w="1169" w:type="dxa"/>
          </w:tcPr>
          <w:p w14:paraId="494572B9"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df1</w:t>
            </w:r>
          </w:p>
        </w:tc>
      </w:tr>
      <w:tr w:rsidR="00DF548B" w:rsidRPr="00D308FD" w14:paraId="303F7F33" w14:textId="77777777" w:rsidTr="00AC2A85">
        <w:tc>
          <w:tcPr>
            <w:tcW w:w="1168" w:type="dxa"/>
          </w:tcPr>
          <w:p w14:paraId="5A263455"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1</w:t>
            </w:r>
          </w:p>
        </w:tc>
        <w:tc>
          <w:tcPr>
            <w:tcW w:w="1168" w:type="dxa"/>
          </w:tcPr>
          <w:p w14:paraId="06B29565"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0.514</w:t>
            </w:r>
          </w:p>
        </w:tc>
        <w:tc>
          <w:tcPr>
            <w:tcW w:w="1169" w:type="dxa"/>
          </w:tcPr>
          <w:p w14:paraId="0C1A087B"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0.264</w:t>
            </w:r>
          </w:p>
        </w:tc>
        <w:tc>
          <w:tcPr>
            <w:tcW w:w="1169" w:type="dxa"/>
          </w:tcPr>
          <w:p w14:paraId="5DC4006B"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0.249</w:t>
            </w:r>
          </w:p>
        </w:tc>
        <w:tc>
          <w:tcPr>
            <w:tcW w:w="1169" w:type="dxa"/>
          </w:tcPr>
          <w:p w14:paraId="4350E961"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7.90757</w:t>
            </w:r>
          </w:p>
        </w:tc>
        <w:tc>
          <w:tcPr>
            <w:tcW w:w="1169" w:type="dxa"/>
          </w:tcPr>
          <w:p w14:paraId="12160648"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0.264</w:t>
            </w:r>
          </w:p>
        </w:tc>
        <w:tc>
          <w:tcPr>
            <w:tcW w:w="1169" w:type="dxa"/>
          </w:tcPr>
          <w:p w14:paraId="71FBBC0A"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17.414</w:t>
            </w:r>
          </w:p>
        </w:tc>
        <w:tc>
          <w:tcPr>
            <w:tcW w:w="1169" w:type="dxa"/>
          </w:tcPr>
          <w:p w14:paraId="6169BB33" w14:textId="77777777" w:rsidR="00DF548B" w:rsidRPr="00D308FD" w:rsidRDefault="00DF548B" w:rsidP="00AC2A85">
            <w:pPr>
              <w:jc w:val="both"/>
              <w:rPr>
                <w:rFonts w:ascii="Adobe Garamond Pro" w:hAnsi="Adobe Garamond Pro"/>
                <w:lang w:val="en"/>
              </w:rPr>
            </w:pPr>
            <w:r w:rsidRPr="00D308FD">
              <w:rPr>
                <w:rFonts w:ascii="Adobe Garamond Pro" w:hAnsi="Adobe Garamond Pro"/>
                <w:lang w:val="en"/>
              </w:rPr>
              <w:t>2</w:t>
            </w:r>
          </w:p>
        </w:tc>
      </w:tr>
    </w:tbl>
    <w:p w14:paraId="0EFFA20B" w14:textId="77777777" w:rsidR="00DF548B" w:rsidRPr="00DF548B" w:rsidRDefault="00DF548B" w:rsidP="00DF548B">
      <w:pPr>
        <w:spacing w:line="278" w:lineRule="auto"/>
        <w:jc w:val="both"/>
        <w:rPr>
          <w:rFonts w:ascii="Adobe Garamond Pro" w:hAnsi="Adobe Garamond Pro"/>
          <w:lang w:val="en"/>
        </w:rPr>
      </w:pPr>
      <w:r w:rsidRPr="00DF548B">
        <w:rPr>
          <w:rFonts w:ascii="Adobe Garamond Pro" w:hAnsi="Adobe Garamond Pro"/>
          <w:lang w:val="en"/>
        </w:rPr>
        <w:t>Source: SPSS Data Processing Results, 2026</w:t>
      </w:r>
    </w:p>
    <w:p w14:paraId="7FF843A7" w14:textId="77777777" w:rsidR="00DF548B" w:rsidRDefault="00DF548B" w:rsidP="00DF548B">
      <w:pPr>
        <w:spacing w:line="278" w:lineRule="auto"/>
        <w:jc w:val="both"/>
        <w:rPr>
          <w:rFonts w:ascii="Adobe Garamond Pro" w:hAnsi="Adobe Garamond Pro"/>
          <w:lang w:val="en"/>
        </w:rPr>
      </w:pPr>
      <w:r w:rsidRPr="00DF548B">
        <w:rPr>
          <w:rFonts w:ascii="Adobe Garamond Pro" w:hAnsi="Adobe Garamond Pro"/>
          <w:lang w:val="en"/>
        </w:rPr>
        <w:t>The R-Square value obtained in Table 5. is 0.264. This indicates that the combined contribution of Customer Satisfaction and Digital Service Quality in explaining the User Retention variable  is 26.4%, while the remaining 73.6% is influenced by external variables outside the research model (such as studio cleanliness, seat comfort, food variety, and promotions).</w:t>
      </w:r>
    </w:p>
    <w:p w14:paraId="17B61345" w14:textId="77777777" w:rsidR="00DF548B" w:rsidRDefault="00DF548B" w:rsidP="00DF548B">
      <w:pPr>
        <w:spacing w:line="278" w:lineRule="auto"/>
        <w:jc w:val="both"/>
        <w:rPr>
          <w:rFonts w:ascii="Adobe Garamond Pro" w:hAnsi="Adobe Garamond Pro"/>
          <w:lang w:val="en"/>
        </w:rPr>
      </w:pPr>
    </w:p>
    <w:p w14:paraId="18482D05" w14:textId="77777777" w:rsidR="00DF548B" w:rsidRDefault="00DF548B" w:rsidP="00DF548B">
      <w:pPr>
        <w:spacing w:line="278" w:lineRule="auto"/>
        <w:jc w:val="both"/>
        <w:rPr>
          <w:rFonts w:ascii="Adobe Garamond Pro" w:hAnsi="Adobe Garamond Pro"/>
          <w:lang w:val="en"/>
        </w:rPr>
      </w:pPr>
    </w:p>
    <w:p w14:paraId="5CA8F721" w14:textId="77777777" w:rsidR="00DF548B" w:rsidRPr="00DF548B" w:rsidRDefault="00DF548B" w:rsidP="00DF548B">
      <w:pPr>
        <w:spacing w:line="278" w:lineRule="auto"/>
        <w:jc w:val="both"/>
        <w:rPr>
          <w:rFonts w:ascii="Adobe Garamond Pro" w:hAnsi="Adobe Garamond Pro"/>
        </w:rPr>
      </w:pPr>
    </w:p>
    <w:p w14:paraId="72485EB1" w14:textId="77777777" w:rsidR="00DF548B" w:rsidRPr="00DF548B" w:rsidRDefault="00DF548B" w:rsidP="00DF548B">
      <w:pPr>
        <w:spacing w:line="278" w:lineRule="auto"/>
        <w:jc w:val="both"/>
        <w:rPr>
          <w:rFonts w:ascii="Adobe Garamond Pro" w:hAnsi="Adobe Garamond Pro"/>
        </w:rPr>
      </w:pPr>
      <w:r w:rsidRPr="00DF548B">
        <w:rPr>
          <w:rFonts w:ascii="Adobe Garamond Pro" w:hAnsi="Adobe Garamond Pro"/>
        </w:rPr>
        <w:t>Figure 1. Structural Model Result</w:t>
      </w:r>
    </w:p>
    <w:p w14:paraId="5D65A469" w14:textId="77777777" w:rsidR="00DF548B" w:rsidRPr="00DF548B" w:rsidRDefault="00DF548B" w:rsidP="00DF548B">
      <w:pPr>
        <w:spacing w:line="278" w:lineRule="auto"/>
        <w:jc w:val="both"/>
        <w:rPr>
          <w:rFonts w:ascii="Adobe Garamond Pro" w:hAnsi="Adobe Garamond Pro"/>
        </w:rPr>
      </w:pPr>
      <w:r>
        <w:rPr>
          <w:noProof/>
        </w:rPr>
        <mc:AlternateContent>
          <mc:Choice Requires="wps">
            <w:drawing>
              <wp:anchor distT="0" distB="0" distL="114300" distR="114300" simplePos="0" relativeHeight="251661312" behindDoc="0" locked="0" layoutInCell="1" allowOverlap="1" wp14:anchorId="7B58E1C5" wp14:editId="1BDA4CF6">
                <wp:simplePos x="0" y="0"/>
                <wp:positionH relativeFrom="column">
                  <wp:posOffset>718805</wp:posOffset>
                </wp:positionH>
                <wp:positionV relativeFrom="paragraph">
                  <wp:posOffset>813795</wp:posOffset>
                </wp:positionV>
                <wp:extent cx="14224" cy="782374"/>
                <wp:effectExtent l="0" t="0" r="24130" b="36830"/>
                <wp:wrapNone/>
                <wp:docPr id="2018946448" name="Straight Connector 5"/>
                <wp:cNvGraphicFramePr/>
                <a:graphic xmlns:a="http://schemas.openxmlformats.org/drawingml/2006/main">
                  <a:graphicData uri="http://schemas.microsoft.com/office/word/2010/wordprocessingShape">
                    <wps:wsp>
                      <wps:cNvCnPr/>
                      <wps:spPr>
                        <a:xfrm flipH="1">
                          <a:off x="0" y="0"/>
                          <a:ext cx="14224" cy="782374"/>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C88163" id="Straight Connector 5"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6pt,64.1pt" to="57.7pt,1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" strokecolor="#5b9bd5 [3204]" strokeweight="1pt">
                <v:stroke joinstyle="miter"/>
              </v:line>
            </w:pict>
          </mc:Fallback>
        </mc:AlternateContent>
      </w:r>
      <w:r>
        <w:rPr>
          <w:noProof/>
        </w:rPr>
        <mc:AlternateContent>
          <mc:Choice Requires="wps">
            <w:drawing>
              <wp:anchor distT="0" distB="0" distL="114300" distR="114300" simplePos="0" relativeHeight="251659264" behindDoc="0" locked="0" layoutInCell="1" allowOverlap="1" wp14:anchorId="20C73FBA" wp14:editId="16E48B8E">
                <wp:simplePos x="0" y="0"/>
                <wp:positionH relativeFrom="column">
                  <wp:posOffset>1471841</wp:posOffset>
                </wp:positionH>
                <wp:positionV relativeFrom="paragraph">
                  <wp:posOffset>407938</wp:posOffset>
                </wp:positionV>
                <wp:extent cx="1481621" cy="792154"/>
                <wp:effectExtent l="0" t="0" r="80645" b="65405"/>
                <wp:wrapNone/>
                <wp:docPr id="1512945731" name="Straight Arrow Connector 2"/>
                <wp:cNvGraphicFramePr/>
                <a:graphic xmlns:a="http://schemas.openxmlformats.org/drawingml/2006/main">
                  <a:graphicData uri="http://schemas.microsoft.com/office/word/2010/wordprocessingShape">
                    <wps:wsp>
                      <wps:cNvCnPr/>
                      <wps:spPr>
                        <a:xfrm>
                          <a:off x="0" y="0"/>
                          <a:ext cx="1481621" cy="792154"/>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w14:anchorId="337871D4" id="_x0000_t32" coordsize="21600,21600" o:spt="32" o:oned="t" path="m,l21600,21600e" filled="f">
                <v:path arrowok="t" fillok="f" o:connecttype="none"/>
                <o:lock v:ext="edit" shapetype="t"/>
              </v:shapetype>
              <v:shape id="Straight Arrow Connector 2" o:spid="_x0000_s1026" type="#_x0000_t32" style="position:absolute;margin-left:115.9pt;margin-top:32.1pt;width:116.65pt;height:62.3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" strokecolor="#5b9bd5 [3204]" strokeweight="1pt">
                <v:stroke endarrow="block" joinstyle="miter"/>
              </v:shape>
            </w:pict>
          </mc:Fallback>
        </mc:AlternateContent>
      </w:r>
      <w:r>
        <w:rPr>
          <w:noProof/>
        </w:rPr>
        <mc:AlternateContent>
          <mc:Choice Requires="wps">
            <w:drawing>
              <wp:inline distT="0" distB="0" distL="0" distR="0" wp14:anchorId="58CA76EA" wp14:editId="6A40CEEA">
                <wp:extent cx="1462062" cy="801933"/>
                <wp:effectExtent l="0" t="0" r="24130" b="17780"/>
                <wp:docPr id="1361582269" name="Rectangle 1"/>
                <wp:cNvGraphicFramePr/>
                <a:graphic xmlns:a="http://schemas.openxmlformats.org/drawingml/2006/main">
                  <a:graphicData uri="http://schemas.microsoft.com/office/word/2010/wordprocessingShape">
                    <wps:wsp>
                      <wps:cNvSpPr/>
                      <wps:spPr>
                        <a:xfrm>
                          <a:off x="0" y="0"/>
                          <a:ext cx="1462062" cy="801933"/>
                        </a:xfrm>
                        <a:prstGeom prst="rect">
                          <a:avLst/>
                        </a:prstGeom>
                      </wps:spPr>
                      <wps:style>
                        <a:lnRef idx="2">
                          <a:schemeClr val="dk1"/>
                        </a:lnRef>
                        <a:fillRef idx="1">
                          <a:schemeClr val="lt1"/>
                        </a:fillRef>
                        <a:effectRef idx="0">
                          <a:schemeClr val="dk1"/>
                        </a:effectRef>
                        <a:fontRef idx="minor">
                          <a:schemeClr val="dk1"/>
                        </a:fontRef>
                      </wps:style>
                      <wps:txbx>
                        <w:txbxContent>
                          <w:p w14:paraId="1DB5CA5B" w14:textId="77777777" w:rsidR="00DF548B" w:rsidRDefault="00DF548B" w:rsidP="00DF548B">
                            <w:pPr>
                              <w:jc w:val="center"/>
                            </w:pPr>
                            <w:r>
                              <w:t>KEPUASAN PELANGGAN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8CA76EA" id="Rectangle 1" o:spid="_x0000_s1026" style="width:115.1pt;height:63.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" fillcolor="white [3201]" strokecolor="black [3200]" strokeweight="1pt">
                <v:textbox>
                  <w:txbxContent>
                    <w:p w14:paraId="1DB5CA5B" w14:textId="77777777" w:rsidR="00DF548B" w:rsidRDefault="00DF548B" w:rsidP="00DF548B">
                      <w:pPr>
                        <w:jc w:val="center"/>
                      </w:pPr>
                      <w:r>
                        <w:t>KEPUASAN PELANGGAN</w:t>
                      </w:r>
                    </w:p>
                  </w:txbxContent>
                </v:textbox>
                <w10:anchorlock/>
              </v:rect>
            </w:pict>
          </mc:Fallback>
        </mc:AlternateContent>
      </w:r>
    </w:p>
    <w:p w14:paraId="1F613094" w14:textId="77777777" w:rsidR="00DF548B" w:rsidRPr="00DF548B" w:rsidRDefault="00DF548B" w:rsidP="00DF548B">
      <w:pPr>
        <w:spacing w:line="278" w:lineRule="auto"/>
        <w:jc w:val="both"/>
        <w:rPr>
          <w:rFonts w:ascii="Adobe Garamond Pro" w:hAnsi="Adobe Garamond Pro"/>
        </w:rPr>
      </w:pPr>
      <w:r>
        <w:rPr>
          <w:noProof/>
        </w:rPr>
        <mc:AlternateContent>
          <mc:Choice Requires="wps">
            <w:drawing>
              <wp:anchor distT="0" distB="0" distL="114300" distR="114300" simplePos="0" relativeHeight="251662336" behindDoc="0" locked="0" layoutInCell="1" allowOverlap="1" wp14:anchorId="534ED407" wp14:editId="1228F566">
                <wp:simplePos x="0" y="0"/>
                <wp:positionH relativeFrom="column">
                  <wp:posOffset>733476</wp:posOffset>
                </wp:positionH>
                <wp:positionV relativeFrom="paragraph">
                  <wp:posOffset>267593</wp:posOffset>
                </wp:positionV>
                <wp:extent cx="2185758" cy="5909"/>
                <wp:effectExtent l="0" t="76200" r="24130" b="89535"/>
                <wp:wrapNone/>
                <wp:docPr id="1559044158" name="Straight Arrow Connector 6"/>
                <wp:cNvGraphicFramePr/>
                <a:graphic xmlns:a="http://schemas.openxmlformats.org/drawingml/2006/main">
                  <a:graphicData uri="http://schemas.microsoft.com/office/word/2010/wordprocessingShape">
                    <wps:wsp>
                      <wps:cNvCnPr/>
                      <wps:spPr>
                        <a:xfrm flipV="1">
                          <a:off x="0" y="0"/>
                          <a:ext cx="2185758" cy="5909"/>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5AC37382" id="Straight Arrow Connector 6" o:spid="_x0000_s1026" type="#_x0000_t32" style="position:absolute;margin-left:57.75pt;margin-top:21.05pt;width:172.1pt;height:.45pt;flip: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" strokecolor="#5b9bd5 [3204]" strokeweight="1pt">
                <v:stroke endarrow="block" joinstyle="miter"/>
              </v:shape>
            </w:pict>
          </mc:Fallback>
        </mc:AlternateContent>
      </w:r>
      <w:r>
        <w:rPr>
          <w:noProof/>
        </w:rPr>
        <mc:AlternateContent>
          <mc:Choice Requires="wps">
            <w:drawing>
              <wp:anchor distT="0" distB="0" distL="114300" distR="114300" simplePos="0" relativeHeight="251660288" behindDoc="0" locked="0" layoutInCell="1" allowOverlap="1" wp14:anchorId="485B1043" wp14:editId="688BBBBF">
                <wp:simplePos x="0" y="0"/>
                <wp:positionH relativeFrom="column">
                  <wp:posOffset>1461770</wp:posOffset>
                </wp:positionH>
                <wp:positionV relativeFrom="paragraph">
                  <wp:posOffset>268612</wp:posOffset>
                </wp:positionV>
                <wp:extent cx="1477024" cy="738366"/>
                <wp:effectExtent l="0" t="38100" r="66040" b="24130"/>
                <wp:wrapNone/>
                <wp:docPr id="1719043254" name="Straight Arrow Connector 3"/>
                <wp:cNvGraphicFramePr/>
                <a:graphic xmlns:a="http://schemas.openxmlformats.org/drawingml/2006/main">
                  <a:graphicData uri="http://schemas.microsoft.com/office/word/2010/wordprocessingShape">
                    <wps:wsp>
                      <wps:cNvCnPr/>
                      <wps:spPr>
                        <a:xfrm flipV="1">
                          <a:off x="0" y="0"/>
                          <a:ext cx="1477024" cy="738366"/>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758D17F3" id="Straight Arrow Connector 3" o:spid="_x0000_s1026" type="#_x0000_t32" style="position:absolute;margin-left:115.1pt;margin-top:21.15pt;width:116.3pt;height:58.15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" strokecolor="#5b9bd5 [3204]" strokeweight="1pt">
                <v:stroke endarrow="block" joinstyle="miter"/>
              </v:shape>
            </w:pict>
          </mc:Fallback>
        </mc:AlternateContent>
      </w:r>
      <w:r w:rsidRPr="00DF548B">
        <w:rPr>
          <w:rFonts w:ascii="Adobe Garamond Pro" w:hAnsi="Adobe Garamond Pro"/>
        </w:rPr>
        <w:t xml:space="preserve">                                                                                    </w:t>
      </w:r>
      <w:r>
        <w:rPr>
          <w:noProof/>
        </w:rPr>
        <mc:AlternateContent>
          <mc:Choice Requires="wps">
            <w:drawing>
              <wp:inline distT="0" distB="0" distL="0" distR="0" wp14:anchorId="53AE6D52" wp14:editId="65A4C1F2">
                <wp:extent cx="1462062" cy="523212"/>
                <wp:effectExtent l="0" t="0" r="24130" b="10795"/>
                <wp:docPr id="377251779" name="Rectangle 1"/>
                <wp:cNvGraphicFramePr/>
                <a:graphic xmlns:a="http://schemas.openxmlformats.org/drawingml/2006/main">
                  <a:graphicData uri="http://schemas.microsoft.com/office/word/2010/wordprocessingShape">
                    <wps:wsp>
                      <wps:cNvSpPr/>
                      <wps:spPr>
                        <a:xfrm>
                          <a:off x="0" y="0"/>
                          <a:ext cx="1462062" cy="523212"/>
                        </a:xfrm>
                        <a:prstGeom prst="rect">
                          <a:avLst/>
                        </a:prstGeom>
                      </wps:spPr>
                      <wps:style>
                        <a:lnRef idx="2">
                          <a:schemeClr val="dk1"/>
                        </a:lnRef>
                        <a:fillRef idx="1">
                          <a:schemeClr val="lt1"/>
                        </a:fillRef>
                        <a:effectRef idx="0">
                          <a:schemeClr val="dk1"/>
                        </a:effectRef>
                        <a:fontRef idx="minor">
                          <a:schemeClr val="dk1"/>
                        </a:fontRef>
                      </wps:style>
                      <wps:txbx>
                        <w:txbxContent>
                          <w:p w14:paraId="1D3A2719" w14:textId="77777777" w:rsidR="00DF548B" w:rsidRDefault="00DF548B" w:rsidP="00DF548B">
                            <w:pPr>
                              <w:jc w:val="center"/>
                            </w:pPr>
                            <w:r>
                              <w:t>LOYALITAS PELANGGAN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3AE6D52" id="_x0000_s1027" style="width:115.1pt;height:41.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" fillcolor="white [3201]" strokecolor="black [3200]" strokeweight="1pt">
                <v:textbox>
                  <w:txbxContent>
                    <w:p w14:paraId="1D3A2719" w14:textId="77777777" w:rsidR="00DF548B" w:rsidRDefault="00DF548B" w:rsidP="00DF548B">
                      <w:pPr>
                        <w:jc w:val="center"/>
                      </w:pPr>
                      <w:r>
                        <w:t>LOYALITAS PELANGGAN</w:t>
                      </w:r>
                    </w:p>
                  </w:txbxContent>
                </v:textbox>
                <w10:anchorlock/>
              </v:rect>
            </w:pict>
          </mc:Fallback>
        </mc:AlternateContent>
      </w:r>
    </w:p>
    <w:p w14:paraId="6E916ED6" w14:textId="77777777" w:rsidR="00DF548B" w:rsidRPr="00DF548B" w:rsidRDefault="00DF548B" w:rsidP="00DF548B">
      <w:pPr>
        <w:jc w:val="both"/>
        <w:rPr>
          <w:rFonts w:ascii="Adobe Garamond Pro" w:hAnsi="Adobe Garamond Pro"/>
        </w:rPr>
      </w:pPr>
      <w:r>
        <w:rPr>
          <w:noProof/>
        </w:rPr>
        <mc:AlternateContent>
          <mc:Choice Requires="wps">
            <w:drawing>
              <wp:inline distT="0" distB="0" distL="0" distR="0" wp14:anchorId="7CB154F9" wp14:editId="3A15E286">
                <wp:extent cx="1462062" cy="713917"/>
                <wp:effectExtent l="0" t="0" r="24130" b="10160"/>
                <wp:docPr id="1928586380" name="Rectangle 1"/>
                <wp:cNvGraphicFramePr/>
                <a:graphic xmlns:a="http://schemas.openxmlformats.org/drawingml/2006/main">
                  <a:graphicData uri="http://schemas.microsoft.com/office/word/2010/wordprocessingShape">
                    <wps:wsp>
                      <wps:cNvSpPr/>
                      <wps:spPr>
                        <a:xfrm>
                          <a:off x="0" y="0"/>
                          <a:ext cx="1462062" cy="713917"/>
                        </a:xfrm>
                        <a:prstGeom prst="rect">
                          <a:avLst/>
                        </a:prstGeom>
                      </wps:spPr>
                      <wps:style>
                        <a:lnRef idx="2">
                          <a:schemeClr val="dk1"/>
                        </a:lnRef>
                        <a:fillRef idx="1">
                          <a:schemeClr val="lt1"/>
                        </a:fillRef>
                        <a:effectRef idx="0">
                          <a:schemeClr val="dk1"/>
                        </a:effectRef>
                        <a:fontRef idx="minor">
                          <a:schemeClr val="dk1"/>
                        </a:fontRef>
                      </wps:style>
                      <wps:txbx>
                        <w:txbxContent>
                          <w:p w14:paraId="5DBFEE7F" w14:textId="77777777" w:rsidR="00DF548B" w:rsidRDefault="00DF548B" w:rsidP="00DF548B">
                            <w:pPr>
                              <w:jc w:val="center"/>
                            </w:pPr>
                            <w:r>
                              <w:t>KUALITAS PELAYANAN ELEKTRONIK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CB154F9" id="_x0000_s1028" style="width:115.1pt;height:56.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" fillcolor="white [3201]" strokecolor="black [3200]" strokeweight="1pt">
                <v:textbox>
                  <w:txbxContent>
                    <w:p w14:paraId="5DBFEE7F" w14:textId="77777777" w:rsidR="00DF548B" w:rsidRDefault="00DF548B" w:rsidP="00DF548B">
                      <w:pPr>
                        <w:jc w:val="center"/>
                      </w:pPr>
                      <w:r>
                        <w:t>KUALITAS PELAYANAN ELEKTRONIK</w:t>
                      </w:r>
                    </w:p>
                  </w:txbxContent>
                </v:textbox>
                <w10:anchorlock/>
              </v:rect>
            </w:pict>
          </mc:Fallback>
        </mc:AlternateContent>
      </w:r>
    </w:p>
    <w:p w14:paraId="5C55F61C" w14:textId="77777777" w:rsidR="00DF548B" w:rsidRPr="00DF548B" w:rsidRDefault="00DF548B" w:rsidP="00DF548B">
      <w:pPr>
        <w:jc w:val="both"/>
        <w:rPr>
          <w:rFonts w:ascii="Adobe Garamond Pro" w:hAnsi="Adobe Garamond Pro"/>
        </w:rPr>
      </w:pPr>
    </w:p>
    <w:p w14:paraId="68CF7F70" w14:textId="77777777" w:rsidR="00DF548B" w:rsidRPr="00DF548B" w:rsidRDefault="00DF548B" w:rsidP="00DF548B">
      <w:pPr>
        <w:jc w:val="both"/>
        <w:rPr>
          <w:rFonts w:ascii="Adobe Garamond Pro" w:hAnsi="Adobe Garamond Pro"/>
        </w:rPr>
      </w:pPr>
    </w:p>
    <w:p w14:paraId="08B202D3" w14:textId="77777777" w:rsidR="00A67F58" w:rsidRDefault="00A67F58">
      <w:pPr>
        <w:tabs>
          <w:tab w:val="left" w:pos="0"/>
          <w:tab w:val="left" w:pos="360"/>
        </w:tabs>
        <w:suppressAutoHyphens/>
        <w:spacing w:after="0" w:line="360" w:lineRule="auto"/>
        <w:jc w:val="both"/>
        <w:rPr>
          <w:rFonts w:cstheme="minorHAnsi"/>
        </w:rPr>
      </w:pPr>
    </w:p>
    <w:p w14:paraId="30230D07" w14:textId="11D15B13" w:rsidR="00A67F58" w:rsidRPr="007672DE" w:rsidRDefault="007672DE">
      <w:pPr>
        <w:pStyle w:val="ListParagraph"/>
        <w:numPr>
          <w:ilvl w:val="0"/>
          <w:numId w:val="3"/>
        </w:numPr>
        <w:tabs>
          <w:tab w:val="left" w:pos="360"/>
        </w:tabs>
        <w:suppressAutoHyphens/>
        <w:spacing w:after="0" w:line="360" w:lineRule="auto"/>
        <w:contextualSpacing w:val="0"/>
        <w:jc w:val="both"/>
        <w:rPr>
          <w:rFonts w:ascii="Arial" w:hAnsi="Arial" w:cs="Arial"/>
          <w:b/>
          <w:color w:val="0070C0"/>
        </w:rPr>
      </w:pPr>
      <w:r w:rsidRPr="007672DE">
        <w:rPr>
          <w:rFonts w:ascii="Arial" w:hAnsi="Arial" w:cs="Arial"/>
          <w:b/>
          <w:color w:val="0070C0"/>
        </w:rPr>
        <w:t>CONCLUSION AND SUGGESTION</w:t>
      </w:r>
      <w:r>
        <w:rPr>
          <w:rFonts w:ascii="Arial" w:hAnsi="Arial" w:cs="Arial"/>
          <w:b/>
          <w:color w:val="0070C0"/>
        </w:rPr>
        <w:t xml:space="preserve"> </w:t>
      </w:r>
    </w:p>
    <w:p w14:paraId="1E4D9CAD" w14:textId="77777777" w:rsidR="00665AAE" w:rsidRPr="00665AAE" w:rsidRDefault="00665AAE" w:rsidP="00665AAE">
      <w:pPr>
        <w:spacing w:after="0" w:line="278" w:lineRule="auto"/>
        <w:jc w:val="both"/>
        <w:rPr>
          <w:rFonts w:ascii="Adobe Garamond Pro" w:hAnsi="Adobe Garamond Pro"/>
          <w:lang w:val="en"/>
        </w:rPr>
      </w:pPr>
      <w:r w:rsidRPr="00665AAE">
        <w:rPr>
          <w:rFonts w:ascii="Adobe Garamond Pro" w:hAnsi="Adobe Garamond Pro"/>
          <w:lang w:val="en"/>
        </w:rPr>
        <w:t>Based on the data analysis and discussion in the preceding chapter regarding the determinants of digital service quality and customer satisfaction in relation to user loyalty for Cinema XXI services in Medan City, the following key conclusions are drawn:</w:t>
      </w:r>
    </w:p>
    <w:p w14:paraId="2280535E" w14:textId="77777777" w:rsidR="00665AAE" w:rsidRPr="00665AAE" w:rsidRDefault="00665AAE" w:rsidP="00665AAE">
      <w:pPr>
        <w:spacing w:after="0" w:line="278" w:lineRule="auto"/>
        <w:jc w:val="both"/>
        <w:rPr>
          <w:rFonts w:ascii="Adobe Garamond Pro" w:hAnsi="Adobe Garamond Pro"/>
          <w:lang w:val="en"/>
        </w:rPr>
      </w:pPr>
      <w:r w:rsidRPr="00665AAE">
        <w:rPr>
          <w:rFonts w:ascii="Adobe Garamond Pro" w:hAnsi="Adobe Garamond Pro"/>
          <w:lang w:val="en"/>
        </w:rPr>
        <w:t>Customer satisfaction, when analyzed in isolation, does not have a significant influence on service user loyalty. This finding challenges classical marketing dogma and demonstrates that consumer satisfaction following a movie screening is transactional and temporary in nature. In the metropolitan market of Medan City characterized by low switching costs post-viewing emotional satisfaction does not automatically lock in consumer behavior or exclusive commitment if competitors offer more attractive or efficient entertainment substitutes.</w:t>
      </w:r>
    </w:p>
    <w:p w14:paraId="300B11AB" w14:textId="77777777" w:rsidR="00665AAE" w:rsidRPr="00665AAE" w:rsidRDefault="00665AAE" w:rsidP="00665AAE">
      <w:pPr>
        <w:spacing w:after="0" w:line="278" w:lineRule="auto"/>
        <w:jc w:val="both"/>
        <w:rPr>
          <w:rFonts w:ascii="Adobe Garamond Pro" w:hAnsi="Adobe Garamond Pro"/>
          <w:lang w:val="en"/>
        </w:rPr>
      </w:pPr>
      <w:r w:rsidRPr="00665AAE">
        <w:rPr>
          <w:rFonts w:ascii="Adobe Garamond Pro" w:hAnsi="Adobe Garamond Pro"/>
          <w:lang w:val="en"/>
        </w:rPr>
        <w:t>Digital service quality, when analyzed in isolation, has a positive and significant influence on service user loyalty. This confirms that the functionality and reliability of digital tools (such as access efficiency, booking accuracy, and data security on the m.tix platform) serve as the primary anchors for behavioral retention. Users remain loyal because the efficiency of the digital system successfully reduces their effort (customer effort score).</w:t>
      </w:r>
    </w:p>
    <w:p w14:paraId="33B1A2C4" w14:textId="77777777" w:rsidR="00665AAE" w:rsidRPr="00665AAE" w:rsidRDefault="00665AAE" w:rsidP="00665AAE">
      <w:pPr>
        <w:spacing w:after="0" w:line="278" w:lineRule="auto"/>
        <w:jc w:val="both"/>
        <w:rPr>
          <w:rFonts w:ascii="Adobe Garamond Pro" w:hAnsi="Adobe Garamond Pro"/>
          <w:lang w:val="en"/>
        </w:rPr>
      </w:pPr>
      <w:r w:rsidRPr="00665AAE">
        <w:rPr>
          <w:rFonts w:ascii="Adobe Garamond Pro" w:hAnsi="Adobe Garamond Pro"/>
          <w:lang w:val="en"/>
        </w:rPr>
        <w:t>Customer satisfaction and digital service quality, when analyzed simultaneously, exert a tangible and significant influence on user loyalty. The synergy between a reliable electronic reservation system and the fulfillment of overall audience satisfaction proves effective in predicting fluctuations in user loyalty.</w:t>
      </w:r>
    </w:p>
    <w:p w14:paraId="40BE0448" w14:textId="77777777" w:rsidR="00665AAE" w:rsidRPr="00665AAE" w:rsidRDefault="00665AAE" w:rsidP="00665AAE">
      <w:pPr>
        <w:spacing w:line="278" w:lineRule="auto"/>
        <w:jc w:val="both"/>
        <w:rPr>
          <w:rFonts w:ascii="Adobe Garamond Pro" w:hAnsi="Adobe Garamond Pro"/>
          <w:lang w:val="en"/>
        </w:rPr>
      </w:pPr>
      <w:r w:rsidRPr="00665AAE">
        <w:rPr>
          <w:rFonts w:ascii="Adobe Garamond Pro" w:hAnsi="Adobe Garamond Pro"/>
          <w:lang w:val="en"/>
        </w:rPr>
        <w:t>The Coefficient of Determination (R²) value indicates that the constructed regression model is capable of explaining variations in user loyalty to a certain extent. The majority portion 73.6% is explained by variables outside the scope of this study, such as physical marketing mix elements (physical location, cinema hygiene, seating comfort, food and beverage prices, and cinema promotional strategies).</w:t>
      </w:r>
    </w:p>
    <w:p w14:paraId="54B71825" w14:textId="77777777" w:rsidR="00665AAE" w:rsidRPr="00665AAE" w:rsidRDefault="00665AAE" w:rsidP="00665AAE">
      <w:pPr>
        <w:spacing w:line="278" w:lineRule="auto"/>
        <w:jc w:val="both"/>
        <w:rPr>
          <w:rFonts w:ascii="Adobe Garamond Pro" w:hAnsi="Adobe Garamond Pro"/>
          <w:lang w:val="en"/>
        </w:rPr>
      </w:pPr>
      <w:r w:rsidRPr="00665AAE">
        <w:rPr>
          <w:rFonts w:ascii="Adobe Garamond Pro" w:hAnsi="Adobe Garamond Pro"/>
          <w:lang w:val="en"/>
        </w:rPr>
        <w:t>Research Contributions and Benefits</w:t>
      </w:r>
    </w:p>
    <w:p w14:paraId="0F26230E" w14:textId="77777777" w:rsidR="00665AAE" w:rsidRPr="00665AAE" w:rsidRDefault="00665AAE" w:rsidP="00665AAE">
      <w:pPr>
        <w:spacing w:after="0" w:line="278" w:lineRule="auto"/>
        <w:jc w:val="both"/>
        <w:rPr>
          <w:rFonts w:ascii="Adobe Garamond Pro" w:hAnsi="Adobe Garamond Pro"/>
          <w:lang w:val="en"/>
        </w:rPr>
      </w:pPr>
      <w:r w:rsidRPr="00665AAE">
        <w:rPr>
          <w:rFonts w:ascii="Adobe Garamond Pro" w:hAnsi="Adobe Garamond Pro"/>
          <w:lang w:val="en"/>
        </w:rPr>
        <w:lastRenderedPageBreak/>
        <w:t>Theoretical Benefits and Novelty</w:t>
      </w:r>
    </w:p>
    <w:p w14:paraId="451B7ADF" w14:textId="77777777" w:rsidR="00665AAE" w:rsidRPr="00665AAE" w:rsidRDefault="00665AAE" w:rsidP="00665AAE">
      <w:pPr>
        <w:spacing w:line="278" w:lineRule="auto"/>
        <w:jc w:val="both"/>
        <w:rPr>
          <w:rFonts w:ascii="Adobe Garamond Pro" w:hAnsi="Adobe Garamond Pro"/>
          <w:lang w:val="en"/>
        </w:rPr>
      </w:pPr>
      <w:r w:rsidRPr="00665AAE">
        <w:rPr>
          <w:rFonts w:ascii="Adobe Garamond Pro" w:hAnsi="Adobe Garamond Pro"/>
          <w:lang w:val="en"/>
        </w:rPr>
        <w:t>This research offers a contribution to scientific novelty by deconstructing the assumption of a linear relationship between satisfaction and loyalty within the entertainment e-commerce ecosystem. These findings demonstrate a shift in consumer behavior: in the digital era, loyalty is no longer driven by emotional satisfaction following the consumption of the core product (watching a movie); instead, it is safeguarded by the convenience of functional interactions with the e-service platform (e-service quality). The study enriches the digital marketing management literature by highlighting the importance of distinguishing between transactional satisfaction indicators and behavioral loyalty in the context of mobile app-based reservation platforms.</w:t>
      </w:r>
    </w:p>
    <w:p w14:paraId="4A458BFC" w14:textId="77777777" w:rsidR="00665AAE" w:rsidRPr="00665AAE" w:rsidRDefault="00665AAE" w:rsidP="00665AAE">
      <w:pPr>
        <w:spacing w:after="0" w:line="278" w:lineRule="auto"/>
        <w:jc w:val="both"/>
        <w:rPr>
          <w:rFonts w:ascii="Adobe Garamond Pro" w:hAnsi="Adobe Garamond Pro"/>
          <w:lang w:val="en"/>
        </w:rPr>
      </w:pPr>
      <w:r w:rsidRPr="00665AAE">
        <w:rPr>
          <w:rFonts w:ascii="Adobe Garamond Pro" w:hAnsi="Adobe Garamond Pro"/>
          <w:lang w:val="en"/>
        </w:rPr>
        <w:t>Empirical and Economic Benefits</w:t>
      </w:r>
    </w:p>
    <w:p w14:paraId="69182D9E" w14:textId="77777777" w:rsidR="00665AAE" w:rsidRPr="00665AAE" w:rsidRDefault="00665AAE" w:rsidP="00665AAE">
      <w:pPr>
        <w:spacing w:line="278" w:lineRule="auto"/>
        <w:jc w:val="both"/>
        <w:rPr>
          <w:rFonts w:ascii="Adobe Garamond Pro" w:hAnsi="Adobe Garamond Pro"/>
          <w:lang w:val="en"/>
        </w:rPr>
      </w:pPr>
      <w:r w:rsidRPr="00665AAE">
        <w:rPr>
          <w:rFonts w:ascii="Adobe Garamond Pro" w:hAnsi="Adobe Garamond Pro"/>
          <w:lang w:val="en"/>
        </w:rPr>
        <w:t>Empirical: This research maps the actual behavior of cinema-goers in Medan, where time efficiency, access speed, and the reliability of queue-free ticketing systems have become absolute standards for modern consumers when evaluating the performance of entertainment service providers.</w:t>
      </w:r>
    </w:p>
    <w:p w14:paraId="5F9AF5E4" w14:textId="77777777" w:rsidR="00665AAE" w:rsidRPr="00665AAE" w:rsidRDefault="00665AAE" w:rsidP="00665AAE">
      <w:pPr>
        <w:spacing w:line="278" w:lineRule="auto"/>
        <w:jc w:val="both"/>
        <w:rPr>
          <w:rFonts w:ascii="Adobe Garamond Pro" w:hAnsi="Adobe Garamond Pro"/>
        </w:rPr>
      </w:pPr>
      <w:r w:rsidRPr="00665AAE">
        <w:rPr>
          <w:rFonts w:ascii="Adobe Garamond Pro" w:hAnsi="Adobe Garamond Pro"/>
          <w:lang w:val="en"/>
        </w:rPr>
        <w:t>Economic: These findings provide a strategic, economically valuable foundation for PT Nusantara Sejahtera Raya Tbk (Cinema XXI). By recognizing that digital service quality acts as a primary driver of loyalty, management can allocate capital expenditure more efficiently—focusing on enhancing server capacity and IT infrastructure to minimize potential financial losses resulting from cancelled transactions (lost sales) caused by technical constraints.</w:t>
      </w:r>
    </w:p>
    <w:p w14:paraId="56D81075" w14:textId="77777777" w:rsidR="00665AAE" w:rsidRPr="00665AAE" w:rsidRDefault="00665AAE" w:rsidP="00665AAE">
      <w:pPr>
        <w:spacing w:after="0" w:line="278" w:lineRule="auto"/>
        <w:jc w:val="both"/>
        <w:rPr>
          <w:rFonts w:ascii="Adobe Garamond Pro" w:hAnsi="Adobe Garamond Pro"/>
          <w:lang w:val="en"/>
        </w:rPr>
      </w:pPr>
      <w:r w:rsidRPr="00665AAE">
        <w:rPr>
          <w:rFonts w:ascii="Adobe Garamond Pro" w:hAnsi="Adobe Garamond Pro"/>
          <w:lang w:val="en"/>
        </w:rPr>
        <w:t>Research Limitations and Weaknesses</w:t>
      </w:r>
    </w:p>
    <w:p w14:paraId="39FC302C" w14:textId="77777777" w:rsidR="00665AAE" w:rsidRPr="00665AAE" w:rsidRDefault="00665AAE" w:rsidP="00665AAE">
      <w:pPr>
        <w:spacing w:after="0" w:line="278" w:lineRule="auto"/>
        <w:jc w:val="both"/>
        <w:rPr>
          <w:rFonts w:ascii="Adobe Garamond Pro" w:hAnsi="Adobe Garamond Pro"/>
          <w:lang w:val="en"/>
        </w:rPr>
      </w:pPr>
      <w:r w:rsidRPr="00665AAE">
        <w:rPr>
          <w:rFonts w:ascii="Adobe Garamond Pro" w:hAnsi="Adobe Garamond Pro"/>
          <w:lang w:val="en"/>
        </w:rPr>
        <w:t>The author acknowledges that this study has several key limitations that may affect the generalizability and internal validity of the findings, including:</w:t>
      </w:r>
    </w:p>
    <w:p w14:paraId="1AD0CF65" w14:textId="77777777" w:rsidR="00665AAE" w:rsidRPr="00665AAE" w:rsidRDefault="00665AAE" w:rsidP="00665AAE">
      <w:pPr>
        <w:spacing w:line="278" w:lineRule="auto"/>
        <w:jc w:val="both"/>
        <w:rPr>
          <w:rFonts w:ascii="Adobe Garamond Pro" w:hAnsi="Adobe Garamond Pro"/>
          <w:lang w:val="en"/>
        </w:rPr>
      </w:pPr>
      <w:r w:rsidRPr="00665AAE">
        <w:rPr>
          <w:rFonts w:ascii="Adobe Garamond Pro" w:hAnsi="Adobe Garamond Pro"/>
          <w:lang w:val="en"/>
        </w:rPr>
        <w:t>Methodological Limitations regarding Variable Scope: The relatively low R² value (26.4%) suggests the presence of omitted variable bias specifically, the exclusion of other key variables that exert greater influence within the physical cinema landscape (such as customer trust, experiential marketing, brand image, or ticket price sensitivity). This raises a critical question: to what extent would the model's validity hold up if confronted with factors such as the superior physical facilities of competing cinemas?</w:t>
      </w:r>
    </w:p>
    <w:p w14:paraId="57B10D23" w14:textId="77777777" w:rsidR="00665AAE" w:rsidRPr="00665AAE" w:rsidRDefault="00665AAE" w:rsidP="00665AAE">
      <w:pPr>
        <w:spacing w:after="0" w:line="278" w:lineRule="auto"/>
        <w:jc w:val="both"/>
        <w:rPr>
          <w:rFonts w:ascii="Adobe Garamond Pro" w:hAnsi="Adobe Garamond Pro"/>
          <w:lang w:val="en"/>
        </w:rPr>
      </w:pPr>
      <w:r w:rsidRPr="00665AAE">
        <w:rPr>
          <w:rFonts w:ascii="Adobe Garamond Pro" w:hAnsi="Adobe Garamond Pro"/>
          <w:lang w:val="en"/>
        </w:rPr>
        <w:t>Weaknesses in Sampling Technique: The use of non-probability sampling specifically an accidental sampling approach carries the risk of representation bias. Because sampling was conducted on an accidental basis over ten days of operation, the respondent profile was dominated by the 15–25 age group (64%). The lack of balanced representation from older age groups (over 36 years old) limits the study's conclusions, as loyalty characteristics among younger demographics tend to be more dynamic and tech-adaptive, yet also more prone to brand switching.</w:t>
      </w:r>
    </w:p>
    <w:p w14:paraId="2C1D4BCD" w14:textId="555C0723" w:rsidR="00665AAE" w:rsidRPr="00665AAE" w:rsidRDefault="00665AAE" w:rsidP="00665AAE">
      <w:pPr>
        <w:spacing w:line="278" w:lineRule="auto"/>
        <w:jc w:val="both"/>
        <w:rPr>
          <w:rFonts w:ascii="Adobe Garamond Pro" w:hAnsi="Adobe Garamond Pro"/>
        </w:rPr>
      </w:pPr>
      <w:r w:rsidRPr="00665AAE">
        <w:rPr>
          <w:rFonts w:ascii="Adobe Garamond Pro" w:hAnsi="Adobe Garamond Pro"/>
          <w:lang w:val="en"/>
        </w:rPr>
        <w:t>Technical Factors Regarding the Research Instrument: Operational system issues such as the absence of automated refund/reschedule features and server overloads during box-office movie releases indicate the presence of situational bias. Respondents who completed the questionnaire immediately after encountering technical difficulties tended to provide extreme ratings; this could influence data normality or linear distribution, even though formal classical assumption tests indicated that the model passed the required criteria.</w:t>
      </w:r>
    </w:p>
    <w:p w14:paraId="3AF67B1D" w14:textId="77777777" w:rsidR="00E95657" w:rsidRDefault="00E95657">
      <w:pPr>
        <w:tabs>
          <w:tab w:val="left" w:pos="360"/>
          <w:tab w:val="left" w:pos="993"/>
        </w:tabs>
        <w:spacing w:after="0" w:line="360" w:lineRule="auto"/>
        <w:jc w:val="both"/>
        <w:rPr>
          <w:rFonts w:cstheme="minorHAnsi"/>
          <w:lang w:val="id-ID"/>
        </w:rPr>
      </w:pPr>
    </w:p>
    <w:p w14:paraId="2EEF8E6F" w14:textId="279F94F0" w:rsidR="00A67F58" w:rsidRPr="007672DE" w:rsidRDefault="007672DE">
      <w:pPr>
        <w:tabs>
          <w:tab w:val="left" w:pos="360"/>
        </w:tabs>
        <w:spacing w:after="0" w:line="360" w:lineRule="auto"/>
        <w:ind w:left="360" w:hanging="360"/>
        <w:jc w:val="both"/>
        <w:rPr>
          <w:rFonts w:ascii="Arial" w:hAnsi="Arial" w:cs="Arial"/>
          <w:b/>
          <w:color w:val="0070C0"/>
        </w:rPr>
      </w:pPr>
      <w:r w:rsidRPr="007672DE">
        <w:rPr>
          <w:rFonts w:ascii="Arial" w:hAnsi="Arial" w:cs="Arial"/>
          <w:b/>
          <w:color w:val="0070C0"/>
        </w:rPr>
        <w:t>REFERENCE</w:t>
      </w:r>
      <w:r>
        <w:rPr>
          <w:rFonts w:ascii="Arial" w:hAnsi="Arial" w:cs="Arial"/>
          <w:b/>
          <w:color w:val="0070C0"/>
        </w:rPr>
        <w:t xml:space="preserve"> </w:t>
      </w:r>
    </w:p>
    <w:p w14:paraId="6139588F" w14:textId="77777777" w:rsidR="003A358D" w:rsidRPr="005433A2" w:rsidRDefault="003A358D" w:rsidP="003A358D">
      <w:pPr>
        <w:spacing w:after="0"/>
        <w:jc w:val="both"/>
        <w:rPr>
          <w:rFonts w:ascii="Adobe Garamond Pro" w:hAnsi="Adobe Garamond Pro"/>
        </w:rPr>
      </w:pPr>
      <w:r w:rsidRPr="005433A2">
        <w:rPr>
          <w:rFonts w:ascii="Adobe Garamond Pro" w:hAnsi="Adobe Garamond Pro"/>
        </w:rPr>
        <w:t xml:space="preserve">Al-dweeri et al., (2021). The impact of e-service quality and satisfaction on loyalty in cinema   </w:t>
      </w:r>
    </w:p>
    <w:p w14:paraId="70074BA0" w14:textId="77777777" w:rsidR="003A358D" w:rsidRPr="005433A2" w:rsidRDefault="003A358D" w:rsidP="003A358D">
      <w:pPr>
        <w:spacing w:line="278" w:lineRule="auto"/>
        <w:ind w:left="720"/>
        <w:jc w:val="both"/>
        <w:rPr>
          <w:rFonts w:ascii="Adobe Garamond Pro" w:hAnsi="Adobe Garamond Pro"/>
        </w:rPr>
      </w:pPr>
      <w:r w:rsidRPr="005433A2">
        <w:rPr>
          <w:rFonts w:ascii="Adobe Garamond Pro" w:hAnsi="Adobe Garamond Pro"/>
        </w:rPr>
        <w:t xml:space="preserve">ticketing apps. </w:t>
      </w:r>
      <w:r w:rsidRPr="005433A2">
        <w:rPr>
          <w:rFonts w:ascii="Adobe Garamond Pro" w:hAnsi="Adobe Garamond Pro"/>
          <w:i/>
          <w:iCs/>
        </w:rPr>
        <w:t>International Journal of Data and Network Science</w:t>
      </w:r>
      <w:r w:rsidRPr="005433A2">
        <w:rPr>
          <w:rFonts w:ascii="Adobe Garamond Pro" w:hAnsi="Adobe Garamond Pro"/>
        </w:rPr>
        <w:t xml:space="preserve">, 5(4), 715–724. </w:t>
      </w:r>
      <w:hyperlink r:id="rId8" w:history="1">
        <w:r w:rsidRPr="005433A2">
          <w:rPr>
            <w:rStyle w:val="Hyperlink"/>
            <w:rFonts w:ascii="Adobe Garamond Pro" w:hAnsi="Adobe Garamond Pro"/>
          </w:rPr>
          <w:t>https://doi.org/10.5267/j.ijdns.2021.8.003</w:t>
        </w:r>
      </w:hyperlink>
    </w:p>
    <w:p w14:paraId="62ED259F" w14:textId="77777777" w:rsidR="003A358D" w:rsidRPr="005433A2" w:rsidRDefault="003A358D" w:rsidP="003A358D">
      <w:pPr>
        <w:spacing w:after="0"/>
        <w:jc w:val="both"/>
        <w:rPr>
          <w:rFonts w:ascii="Adobe Garamond Pro" w:hAnsi="Adobe Garamond Pro"/>
        </w:rPr>
      </w:pPr>
      <w:r w:rsidRPr="005433A2">
        <w:rPr>
          <w:rFonts w:ascii="Adobe Garamond Pro" w:hAnsi="Adobe Garamond Pro"/>
        </w:rPr>
        <w:lastRenderedPageBreak/>
        <w:t xml:space="preserve">Ananda &amp; Lestari, (2022). Determinasi kualitas layanan digital dan nilai pelanggan terhadap </w:t>
      </w:r>
    </w:p>
    <w:p w14:paraId="3EC91F33" w14:textId="77777777" w:rsidR="003A358D" w:rsidRPr="005433A2" w:rsidRDefault="003A358D" w:rsidP="003A358D">
      <w:pPr>
        <w:spacing w:line="278" w:lineRule="auto"/>
        <w:ind w:left="720"/>
        <w:jc w:val="both"/>
        <w:rPr>
          <w:rFonts w:ascii="Adobe Garamond Pro" w:hAnsi="Adobe Garamond Pro"/>
        </w:rPr>
      </w:pPr>
      <w:r w:rsidRPr="005433A2">
        <w:rPr>
          <w:rFonts w:ascii="Adobe Garamond Pro" w:hAnsi="Adobe Garamond Pro"/>
        </w:rPr>
        <w:t xml:space="preserve">kepuasan pengguna aplikasi pemesanan tiket bioskop. </w:t>
      </w:r>
      <w:r w:rsidRPr="005433A2">
        <w:rPr>
          <w:rFonts w:ascii="Adobe Garamond Pro" w:hAnsi="Adobe Garamond Pro"/>
          <w:i/>
          <w:iCs/>
        </w:rPr>
        <w:t>Jurnal Pemasaran Digital Indonesia</w:t>
      </w:r>
      <w:r w:rsidRPr="005433A2">
        <w:rPr>
          <w:rFonts w:ascii="Adobe Garamond Pro" w:hAnsi="Adobe Garamond Pro"/>
        </w:rPr>
        <w:t xml:space="preserve">, 3(1), 45–58. </w:t>
      </w:r>
      <w:hyperlink r:id="rId9" w:tgtFrame="_blank" w:history="1">
        <w:r w:rsidRPr="005433A2">
          <w:rPr>
            <w:rStyle w:val="Hyperlink"/>
            <w:rFonts w:ascii="Adobe Garamond Pro" w:hAnsi="Adobe Garamond Pro"/>
          </w:rPr>
          <w:t>https://doi.org/10.31219/osf.io/jpdi.v3i1.8842</w:t>
        </w:r>
      </w:hyperlink>
    </w:p>
    <w:p w14:paraId="44BECA95" w14:textId="77777777" w:rsidR="003A358D" w:rsidRPr="005433A2" w:rsidRDefault="003A358D" w:rsidP="003A358D">
      <w:pPr>
        <w:spacing w:after="0"/>
        <w:jc w:val="both"/>
        <w:rPr>
          <w:rFonts w:ascii="Adobe Garamond Pro" w:hAnsi="Adobe Garamond Pro"/>
        </w:rPr>
      </w:pPr>
      <w:r w:rsidRPr="005433A2">
        <w:rPr>
          <w:rFonts w:ascii="Adobe Garamond Pro" w:hAnsi="Adobe Garamond Pro"/>
        </w:rPr>
        <w:t xml:space="preserve">Ferdinand &amp; Wijaya, (2023). Digital service experience, user satisfaction, and customer </w:t>
      </w:r>
    </w:p>
    <w:p w14:paraId="666E94E9" w14:textId="77777777" w:rsidR="003A358D" w:rsidRPr="005433A2" w:rsidRDefault="003A358D" w:rsidP="003A358D">
      <w:pPr>
        <w:spacing w:line="278" w:lineRule="auto"/>
        <w:ind w:left="720"/>
        <w:jc w:val="both"/>
        <w:rPr>
          <w:rFonts w:ascii="Adobe Garamond Pro" w:hAnsi="Adobe Garamond Pro"/>
        </w:rPr>
      </w:pPr>
      <w:r w:rsidRPr="005433A2">
        <w:rPr>
          <w:rFonts w:ascii="Adobe Garamond Pro" w:hAnsi="Adobe Garamond Pro"/>
        </w:rPr>
        <w:t xml:space="preserve">retention in entertainment industries. </w:t>
      </w:r>
      <w:r w:rsidRPr="005433A2">
        <w:rPr>
          <w:rFonts w:ascii="Adobe Garamond Pro" w:hAnsi="Adobe Garamond Pro"/>
          <w:i/>
          <w:iCs/>
        </w:rPr>
        <w:t>Journal of Consumer Behavior and Marketing Studies</w:t>
      </w:r>
      <w:r w:rsidRPr="005433A2">
        <w:rPr>
          <w:rFonts w:ascii="Adobe Garamond Pro" w:hAnsi="Adobe Garamond Pro"/>
        </w:rPr>
        <w:t xml:space="preserve">, 11(2), 112–127. </w:t>
      </w:r>
      <w:hyperlink r:id="rId10" w:tgtFrame="_blank" w:history="1">
        <w:r w:rsidRPr="005433A2">
          <w:rPr>
            <w:rStyle w:val="Hyperlink"/>
            <w:rFonts w:ascii="Adobe Garamond Pro" w:hAnsi="Adobe Garamond Pro"/>
          </w:rPr>
          <w:t>https://doi.org/10.1016/j.jcbs.2023.04.012</w:t>
        </w:r>
      </w:hyperlink>
    </w:p>
    <w:p w14:paraId="3B53A63B" w14:textId="77777777" w:rsidR="003A358D" w:rsidRPr="005433A2" w:rsidRDefault="003A358D" w:rsidP="003A358D">
      <w:pPr>
        <w:spacing w:after="0"/>
        <w:jc w:val="both"/>
        <w:rPr>
          <w:rFonts w:ascii="Adobe Garamond Pro" w:hAnsi="Adobe Garamond Pro"/>
        </w:rPr>
      </w:pPr>
      <w:r w:rsidRPr="005433A2">
        <w:rPr>
          <w:rFonts w:ascii="Adobe Garamond Pro" w:hAnsi="Adobe Garamond Pro"/>
        </w:rPr>
        <w:t xml:space="preserve">Ghozali, I. (2021). </w:t>
      </w:r>
      <w:r w:rsidRPr="005433A2">
        <w:rPr>
          <w:rFonts w:ascii="Adobe Garamond Pro" w:hAnsi="Adobe Garamond Pro"/>
          <w:i/>
          <w:iCs/>
        </w:rPr>
        <w:t>Aplikasi analisis multivariate dengan program IBM SPSS 26</w:t>
      </w:r>
      <w:r w:rsidRPr="005433A2">
        <w:rPr>
          <w:rFonts w:ascii="Adobe Garamond Pro" w:hAnsi="Adobe Garamond Pro"/>
        </w:rPr>
        <w:t xml:space="preserve"> (Edisi 10). </w:t>
      </w:r>
    </w:p>
    <w:p w14:paraId="131CFB61" w14:textId="77777777" w:rsidR="003A358D" w:rsidRPr="005433A2" w:rsidRDefault="003A358D" w:rsidP="003A358D">
      <w:pPr>
        <w:spacing w:line="278" w:lineRule="auto"/>
        <w:ind w:firstLine="720"/>
        <w:jc w:val="both"/>
        <w:rPr>
          <w:rFonts w:ascii="Adobe Garamond Pro" w:hAnsi="Adobe Garamond Pro"/>
        </w:rPr>
      </w:pPr>
      <w:r w:rsidRPr="005433A2">
        <w:rPr>
          <w:rFonts w:ascii="Adobe Garamond Pro" w:hAnsi="Adobe Garamond Pro"/>
        </w:rPr>
        <w:t>Badan Penerbit Universitas Diponegoro.</w:t>
      </w:r>
    </w:p>
    <w:p w14:paraId="59E478D3" w14:textId="77777777" w:rsidR="003A358D" w:rsidRPr="005433A2" w:rsidRDefault="003A358D" w:rsidP="003A358D">
      <w:pPr>
        <w:spacing w:after="0"/>
        <w:jc w:val="both"/>
        <w:rPr>
          <w:rFonts w:ascii="Adobe Garamond Pro" w:hAnsi="Adobe Garamond Pro"/>
        </w:rPr>
      </w:pPr>
      <w:r w:rsidRPr="005433A2">
        <w:rPr>
          <w:rFonts w:ascii="Adobe Garamond Pro" w:hAnsi="Adobe Garamond Pro"/>
        </w:rPr>
        <w:t xml:space="preserve">Hasanah &amp; Setyawan, (2020). Analisis kepuasan dan loyalitas konsumen bioskop XXI </w:t>
      </w:r>
    </w:p>
    <w:p w14:paraId="2CFC2686" w14:textId="77777777" w:rsidR="003A358D" w:rsidRPr="005433A2" w:rsidRDefault="003A358D" w:rsidP="003A358D">
      <w:pPr>
        <w:spacing w:line="278" w:lineRule="auto"/>
        <w:ind w:left="720"/>
        <w:jc w:val="both"/>
        <w:rPr>
          <w:rFonts w:ascii="Adobe Garamond Pro" w:hAnsi="Adobe Garamond Pro"/>
        </w:rPr>
      </w:pPr>
      <w:r w:rsidRPr="005433A2">
        <w:rPr>
          <w:rFonts w:ascii="Adobe Garamond Pro" w:hAnsi="Adobe Garamond Pro"/>
        </w:rPr>
        <w:t xml:space="preserve">berbasis aplikasi pemesanan online. </w:t>
      </w:r>
      <w:r w:rsidRPr="005433A2">
        <w:rPr>
          <w:rFonts w:ascii="Adobe Garamond Pro" w:hAnsi="Adobe Garamond Pro"/>
          <w:i/>
          <w:iCs/>
        </w:rPr>
        <w:t>Jurnal Riset Manajemen Dan Bisnis</w:t>
      </w:r>
      <w:r w:rsidRPr="005433A2">
        <w:rPr>
          <w:rFonts w:ascii="Adobe Garamond Pro" w:hAnsi="Adobe Garamond Pro"/>
        </w:rPr>
        <w:t xml:space="preserve">, 15(2), 201–215. </w:t>
      </w:r>
      <w:hyperlink r:id="rId11" w:tgtFrame="_blank" w:history="1">
        <w:r w:rsidRPr="005433A2">
          <w:rPr>
            <w:rStyle w:val="Hyperlink"/>
            <w:rFonts w:ascii="Adobe Garamond Pro" w:hAnsi="Adobe Garamond Pro"/>
          </w:rPr>
          <w:t>https://doi.org/10.21009/jrmb.v15i2.14321</w:t>
        </w:r>
      </w:hyperlink>
    </w:p>
    <w:p w14:paraId="605E9D6C" w14:textId="77777777" w:rsidR="003A358D" w:rsidRPr="005433A2" w:rsidRDefault="003A358D" w:rsidP="003A358D">
      <w:pPr>
        <w:spacing w:line="278" w:lineRule="auto"/>
        <w:jc w:val="both"/>
        <w:rPr>
          <w:rFonts w:ascii="Adobe Garamond Pro" w:hAnsi="Adobe Garamond Pro"/>
        </w:rPr>
      </w:pPr>
      <w:r w:rsidRPr="005433A2">
        <w:rPr>
          <w:rFonts w:ascii="Adobe Garamond Pro" w:hAnsi="Adobe Garamond Pro"/>
        </w:rPr>
        <w:t xml:space="preserve">Kotler &amp; Keller,  (2021). </w:t>
      </w:r>
      <w:r w:rsidRPr="005433A2">
        <w:rPr>
          <w:rFonts w:ascii="Adobe Garamond Pro" w:hAnsi="Adobe Garamond Pro"/>
          <w:i/>
          <w:iCs/>
        </w:rPr>
        <w:t>Marketing management</w:t>
      </w:r>
      <w:r w:rsidRPr="005433A2">
        <w:rPr>
          <w:rFonts w:ascii="Adobe Garamond Pro" w:hAnsi="Adobe Garamond Pro"/>
        </w:rPr>
        <w:t xml:space="preserve"> (16th ed.). Pearson Education.</w:t>
      </w:r>
    </w:p>
    <w:p w14:paraId="28CA21A9" w14:textId="77777777" w:rsidR="003A358D" w:rsidRPr="005433A2" w:rsidRDefault="003A358D" w:rsidP="003A358D">
      <w:pPr>
        <w:spacing w:after="0"/>
        <w:jc w:val="both"/>
        <w:rPr>
          <w:rFonts w:ascii="Adobe Garamond Pro" w:hAnsi="Adobe Garamond Pro"/>
        </w:rPr>
      </w:pPr>
      <w:r w:rsidRPr="005433A2">
        <w:rPr>
          <w:rFonts w:ascii="Adobe Garamond Pro" w:hAnsi="Adobe Garamond Pro"/>
        </w:rPr>
        <w:t xml:space="preserve">Kusuma &amp; Rahardjo, (2024). E-Service quality and customer loyalty in digital ticketing </w:t>
      </w:r>
    </w:p>
    <w:p w14:paraId="6D7A19AC" w14:textId="77777777" w:rsidR="003A358D" w:rsidRPr="005433A2" w:rsidRDefault="003A358D" w:rsidP="003A358D">
      <w:pPr>
        <w:spacing w:after="0" w:line="278" w:lineRule="auto"/>
        <w:ind w:left="720"/>
        <w:jc w:val="both"/>
        <w:rPr>
          <w:rFonts w:ascii="Adobe Garamond Pro" w:hAnsi="Adobe Garamond Pro"/>
        </w:rPr>
      </w:pPr>
      <w:r w:rsidRPr="005433A2">
        <w:rPr>
          <w:rFonts w:ascii="Adobe Garamond Pro" w:hAnsi="Adobe Garamond Pro"/>
        </w:rPr>
        <w:t xml:space="preserve">platforms: The mediating role of user trust. </w:t>
      </w:r>
      <w:r w:rsidRPr="005433A2">
        <w:rPr>
          <w:rFonts w:ascii="Adobe Garamond Pro" w:hAnsi="Adobe Garamond Pro"/>
          <w:i/>
          <w:iCs/>
        </w:rPr>
        <w:t>Asian Journal of Digital Business</w:t>
      </w:r>
      <w:r w:rsidRPr="005433A2">
        <w:rPr>
          <w:rFonts w:ascii="Adobe Garamond Pro" w:hAnsi="Adobe Garamond Pro"/>
        </w:rPr>
        <w:t xml:space="preserve">, 8(1), 33–49. </w:t>
      </w:r>
      <w:hyperlink r:id="rId12" w:tgtFrame="_blank" w:history="1">
        <w:r w:rsidRPr="005433A2">
          <w:rPr>
            <w:rStyle w:val="Hyperlink"/>
            <w:rFonts w:ascii="Adobe Garamond Pro" w:hAnsi="Adobe Garamond Pro"/>
          </w:rPr>
          <w:t>https://doi.org/10.1080/23311975.2024.2312001</w:t>
        </w:r>
      </w:hyperlink>
    </w:p>
    <w:p w14:paraId="0037CE0E" w14:textId="77777777" w:rsidR="003A358D" w:rsidRPr="005433A2" w:rsidRDefault="003A358D" w:rsidP="003A358D">
      <w:pPr>
        <w:spacing w:after="0"/>
        <w:jc w:val="both"/>
        <w:rPr>
          <w:rFonts w:ascii="Adobe Garamond Pro" w:hAnsi="Adobe Garamond Pro"/>
        </w:rPr>
      </w:pPr>
      <w:r w:rsidRPr="005433A2">
        <w:rPr>
          <w:rFonts w:ascii="Adobe Garamond Pro" w:hAnsi="Adobe Garamond Pro"/>
        </w:rPr>
        <w:t xml:space="preserve">Pratama &amp; Sitorus, (2021). Evaluasi kualitas layanan aplikasi m.tix Bioskop XXI terhadap </w:t>
      </w:r>
    </w:p>
    <w:p w14:paraId="77E89838" w14:textId="77777777" w:rsidR="003A358D" w:rsidRPr="005433A2" w:rsidRDefault="003A358D" w:rsidP="003A358D">
      <w:pPr>
        <w:spacing w:line="278" w:lineRule="auto"/>
        <w:ind w:left="720"/>
        <w:jc w:val="both"/>
        <w:rPr>
          <w:rFonts w:ascii="Adobe Garamond Pro" w:hAnsi="Adobe Garamond Pro"/>
        </w:rPr>
      </w:pPr>
      <w:r w:rsidRPr="005433A2">
        <w:rPr>
          <w:rFonts w:ascii="Adobe Garamond Pro" w:hAnsi="Adobe Garamond Pro"/>
        </w:rPr>
        <w:t xml:space="preserve">kepuasan dan loyalitas penonton di Kota Medan. </w:t>
      </w:r>
      <w:r w:rsidRPr="005433A2">
        <w:rPr>
          <w:rFonts w:ascii="Adobe Garamond Pro" w:hAnsi="Adobe Garamond Pro"/>
          <w:i/>
          <w:iCs/>
        </w:rPr>
        <w:t>Jurnal Ekonomi Dan Bisnis Sumatera</w:t>
      </w:r>
      <w:r w:rsidRPr="005433A2">
        <w:rPr>
          <w:rFonts w:ascii="Adobe Garamond Pro" w:hAnsi="Adobe Garamond Pro"/>
        </w:rPr>
        <w:t xml:space="preserve">, 9(3), 88–101. </w:t>
      </w:r>
      <w:hyperlink r:id="rId13" w:tgtFrame="_blank" w:history="1">
        <w:r w:rsidRPr="005433A2">
          <w:rPr>
            <w:rStyle w:val="Hyperlink"/>
            <w:rFonts w:ascii="Adobe Garamond Pro" w:hAnsi="Adobe Garamond Pro"/>
          </w:rPr>
          <w:t>https://doi.org/10.32734/jebs.v9i3.5512</w:t>
        </w:r>
      </w:hyperlink>
    </w:p>
    <w:p w14:paraId="312491D6" w14:textId="77777777" w:rsidR="003A358D" w:rsidRPr="005433A2" w:rsidRDefault="003A358D" w:rsidP="003A358D">
      <w:pPr>
        <w:spacing w:after="0"/>
        <w:jc w:val="both"/>
        <w:rPr>
          <w:rFonts w:ascii="Adobe Garamond Pro" w:hAnsi="Adobe Garamond Pro"/>
        </w:rPr>
      </w:pPr>
      <w:r w:rsidRPr="005433A2">
        <w:rPr>
          <w:rFonts w:ascii="Adobe Garamond Pro" w:hAnsi="Adobe Garamond Pro"/>
        </w:rPr>
        <w:t xml:space="preserve">Rizky &amp; Purwanto, (2022). The influence of digital service quality on customer loyalty in </w:t>
      </w:r>
    </w:p>
    <w:p w14:paraId="62FB7969" w14:textId="77777777" w:rsidR="003A358D" w:rsidRPr="005433A2" w:rsidRDefault="003A358D" w:rsidP="003A358D">
      <w:pPr>
        <w:spacing w:line="278" w:lineRule="auto"/>
        <w:ind w:left="720"/>
        <w:jc w:val="both"/>
        <w:rPr>
          <w:rFonts w:ascii="Adobe Garamond Pro" w:hAnsi="Adobe Garamond Pro"/>
        </w:rPr>
      </w:pPr>
      <w:r w:rsidRPr="005433A2">
        <w:rPr>
          <w:rFonts w:ascii="Adobe Garamond Pro" w:hAnsi="Adobe Garamond Pro"/>
        </w:rPr>
        <w:t xml:space="preserve">modern cinema services. </w:t>
      </w:r>
      <w:r w:rsidRPr="005433A2">
        <w:rPr>
          <w:rFonts w:ascii="Adobe Garamond Pro" w:hAnsi="Adobe Garamond Pro"/>
          <w:i/>
          <w:iCs/>
        </w:rPr>
        <w:t>Journal of Retailing and Consumer Services</w:t>
      </w:r>
      <w:r w:rsidRPr="005433A2">
        <w:rPr>
          <w:rFonts w:ascii="Adobe Garamond Pro" w:hAnsi="Adobe Garamond Pro"/>
        </w:rPr>
        <w:t xml:space="preserve">, 68, 103045. </w:t>
      </w:r>
      <w:hyperlink r:id="rId14" w:history="1">
        <w:r w:rsidRPr="005433A2">
          <w:rPr>
            <w:rStyle w:val="Hyperlink"/>
            <w:rFonts w:ascii="Adobe Garamond Pro" w:hAnsi="Adobe Garamond Pro"/>
          </w:rPr>
          <w:t>https://doi.org/10.1016/j.jretconser.2022.103045</w:t>
        </w:r>
      </w:hyperlink>
    </w:p>
    <w:p w14:paraId="646D9399" w14:textId="77777777" w:rsidR="003A358D" w:rsidRPr="005433A2" w:rsidRDefault="003A358D" w:rsidP="003A358D">
      <w:pPr>
        <w:spacing w:after="0"/>
        <w:jc w:val="both"/>
        <w:rPr>
          <w:rFonts w:ascii="Adobe Garamond Pro" w:hAnsi="Adobe Garamond Pro"/>
        </w:rPr>
      </w:pPr>
      <w:r w:rsidRPr="005433A2">
        <w:rPr>
          <w:rFonts w:ascii="Adobe Garamond Pro" w:hAnsi="Adobe Garamond Pro"/>
        </w:rPr>
        <w:t xml:space="preserve">Setiawan &amp; Utami, (2023). Determinants of customer satisfaction and loyalty in online </w:t>
      </w:r>
    </w:p>
    <w:p w14:paraId="5AC44858" w14:textId="77777777" w:rsidR="003A358D" w:rsidRPr="005433A2" w:rsidRDefault="003A358D" w:rsidP="003A358D">
      <w:pPr>
        <w:spacing w:line="278" w:lineRule="auto"/>
        <w:ind w:left="720"/>
        <w:jc w:val="both"/>
        <w:rPr>
          <w:rFonts w:ascii="Adobe Garamond Pro" w:hAnsi="Adobe Garamond Pro"/>
        </w:rPr>
      </w:pPr>
      <w:r w:rsidRPr="005433A2">
        <w:rPr>
          <w:rFonts w:ascii="Adobe Garamond Pro" w:hAnsi="Adobe Garamond Pro"/>
        </w:rPr>
        <w:t xml:space="preserve">entertainment reservation systems. </w:t>
      </w:r>
      <w:r w:rsidRPr="005433A2">
        <w:rPr>
          <w:rFonts w:ascii="Adobe Garamond Pro" w:hAnsi="Adobe Garamond Pro"/>
          <w:i/>
          <w:iCs/>
        </w:rPr>
        <w:t>International Journal of Hospitality &amp; Cinema Management</w:t>
      </w:r>
      <w:r w:rsidRPr="005433A2">
        <w:rPr>
          <w:rFonts w:ascii="Adobe Garamond Pro" w:hAnsi="Adobe Garamond Pro"/>
        </w:rPr>
        <w:t xml:space="preserve">, 14(1), 55–70. </w:t>
      </w:r>
      <w:hyperlink r:id="rId15" w:tgtFrame="_blank" w:history="1">
        <w:r w:rsidRPr="005433A2">
          <w:rPr>
            <w:rStyle w:val="Hyperlink"/>
            <w:rFonts w:ascii="Adobe Garamond Pro" w:hAnsi="Adobe Garamond Pro"/>
          </w:rPr>
          <w:t>https://doi.org/10.1016/j.ijhcm.2023.01.004</w:t>
        </w:r>
      </w:hyperlink>
    </w:p>
    <w:p w14:paraId="37184A29" w14:textId="77777777" w:rsidR="003A358D" w:rsidRPr="005433A2" w:rsidRDefault="003A358D" w:rsidP="003A358D">
      <w:pPr>
        <w:spacing w:line="278" w:lineRule="auto"/>
        <w:jc w:val="both"/>
        <w:rPr>
          <w:rFonts w:ascii="Adobe Garamond Pro" w:hAnsi="Adobe Garamond Pro"/>
        </w:rPr>
      </w:pPr>
      <w:r w:rsidRPr="005433A2">
        <w:rPr>
          <w:rFonts w:ascii="Adobe Garamond Pro" w:hAnsi="Adobe Garamond Pro"/>
        </w:rPr>
        <w:t xml:space="preserve">Sugiyono. (2022). </w:t>
      </w:r>
      <w:r w:rsidRPr="005433A2">
        <w:rPr>
          <w:rFonts w:ascii="Adobe Garamond Pro" w:hAnsi="Adobe Garamond Pro"/>
          <w:i/>
          <w:iCs/>
        </w:rPr>
        <w:t>Metode penelitian kuantitatif, kualitatif, dan R&amp;D</w:t>
      </w:r>
      <w:r w:rsidRPr="005433A2">
        <w:rPr>
          <w:rFonts w:ascii="Adobe Garamond Pro" w:hAnsi="Adobe Garamond Pro"/>
        </w:rPr>
        <w:t xml:space="preserve"> (Edisi 29). Alfabeta.</w:t>
      </w:r>
    </w:p>
    <w:p w14:paraId="39E1D9D7" w14:textId="77777777" w:rsidR="003A358D" w:rsidRPr="005433A2" w:rsidRDefault="003A358D" w:rsidP="003A358D">
      <w:pPr>
        <w:spacing w:after="0"/>
        <w:jc w:val="both"/>
        <w:rPr>
          <w:rFonts w:ascii="Adobe Garamond Pro" w:hAnsi="Adobe Garamond Pro"/>
        </w:rPr>
      </w:pPr>
      <w:r w:rsidRPr="005433A2">
        <w:rPr>
          <w:rFonts w:ascii="Adobe Garamond Pro" w:hAnsi="Adobe Garamond Pro"/>
        </w:rPr>
        <w:t xml:space="preserve">Suryani &amp; Hidayat (2025). Digitalization of cinema ticketing: Measuring e-SQ impact on user </w:t>
      </w:r>
    </w:p>
    <w:p w14:paraId="286EE9DE" w14:textId="77777777" w:rsidR="003A358D" w:rsidRPr="005433A2" w:rsidRDefault="003A358D" w:rsidP="003A358D">
      <w:pPr>
        <w:spacing w:line="278" w:lineRule="auto"/>
        <w:ind w:left="720"/>
        <w:jc w:val="both"/>
        <w:rPr>
          <w:rFonts w:ascii="Adobe Garamond Pro" w:hAnsi="Adobe Garamond Pro"/>
        </w:rPr>
      </w:pPr>
      <w:r w:rsidRPr="005433A2">
        <w:rPr>
          <w:rFonts w:ascii="Adobe Garamond Pro" w:hAnsi="Adobe Garamond Pro"/>
        </w:rPr>
        <w:t xml:space="preserve">repurchasing intent. </w:t>
      </w:r>
      <w:r w:rsidRPr="005433A2">
        <w:rPr>
          <w:rFonts w:ascii="Adobe Garamond Pro" w:hAnsi="Adobe Garamond Pro"/>
          <w:i/>
          <w:iCs/>
        </w:rPr>
        <w:t>Journal of Technology in Consumer Services</w:t>
      </w:r>
      <w:r w:rsidRPr="005433A2">
        <w:rPr>
          <w:rFonts w:ascii="Adobe Garamond Pro" w:hAnsi="Adobe Garamond Pro"/>
        </w:rPr>
        <w:t xml:space="preserve">, 12(1), 14–29. </w:t>
      </w:r>
      <w:hyperlink r:id="rId16" w:history="1">
        <w:r w:rsidRPr="005433A2">
          <w:rPr>
            <w:rStyle w:val="Hyperlink"/>
            <w:rFonts w:ascii="Adobe Garamond Pro" w:hAnsi="Adobe Garamond Pro"/>
          </w:rPr>
          <w:t>https://doi.org/10.1016/j.jtcs.2025.100214</w:t>
        </w:r>
      </w:hyperlink>
    </w:p>
    <w:p w14:paraId="420EBE8B" w14:textId="77777777" w:rsidR="003A358D" w:rsidRPr="005433A2" w:rsidRDefault="003A358D" w:rsidP="003A358D">
      <w:pPr>
        <w:spacing w:line="278" w:lineRule="auto"/>
        <w:jc w:val="both"/>
        <w:rPr>
          <w:rFonts w:ascii="Adobe Garamond Pro" w:hAnsi="Adobe Garamond Pro"/>
        </w:rPr>
      </w:pPr>
      <w:r w:rsidRPr="005433A2">
        <w:rPr>
          <w:rFonts w:ascii="Adobe Garamond Pro" w:hAnsi="Adobe Garamond Pro"/>
        </w:rPr>
        <w:t xml:space="preserve">Tjiptono &amp; Diana, (2020). </w:t>
      </w:r>
      <w:r w:rsidRPr="005433A2">
        <w:rPr>
          <w:rFonts w:ascii="Adobe Garamond Pro" w:hAnsi="Adobe Garamond Pro"/>
          <w:i/>
          <w:iCs/>
        </w:rPr>
        <w:t>Pemasaran strategis</w:t>
      </w:r>
      <w:r w:rsidRPr="005433A2">
        <w:rPr>
          <w:rFonts w:ascii="Adobe Garamond Pro" w:hAnsi="Adobe Garamond Pro"/>
        </w:rPr>
        <w:t xml:space="preserve"> (Edisi 4). Andi Offset.</w:t>
      </w:r>
    </w:p>
    <w:p w14:paraId="4AB0AC9E" w14:textId="77777777" w:rsidR="003A358D" w:rsidRPr="005433A2" w:rsidRDefault="003A358D" w:rsidP="003A358D">
      <w:pPr>
        <w:spacing w:after="0"/>
        <w:jc w:val="both"/>
        <w:rPr>
          <w:rFonts w:ascii="Adobe Garamond Pro" w:hAnsi="Adobe Garamond Pro"/>
        </w:rPr>
      </w:pPr>
      <w:r w:rsidRPr="005433A2">
        <w:rPr>
          <w:rFonts w:ascii="Adobe Garamond Pro" w:hAnsi="Adobe Garamond Pro"/>
        </w:rPr>
        <w:t xml:space="preserve">Wibowo &amp; Nurlaila, (2022). Pengaruh kepuasan pelanggan dan kualitas platform digital </w:t>
      </w:r>
    </w:p>
    <w:p w14:paraId="76DB063B" w14:textId="77777777" w:rsidR="003A358D" w:rsidRPr="005433A2" w:rsidRDefault="003A358D" w:rsidP="003A358D">
      <w:pPr>
        <w:spacing w:line="278" w:lineRule="auto"/>
        <w:ind w:left="720"/>
        <w:jc w:val="both"/>
        <w:rPr>
          <w:rFonts w:ascii="Adobe Garamond Pro" w:hAnsi="Adobe Garamond Pro"/>
        </w:rPr>
      </w:pPr>
      <w:r w:rsidRPr="005433A2">
        <w:rPr>
          <w:rFonts w:ascii="Adobe Garamond Pro" w:hAnsi="Adobe Garamond Pro"/>
        </w:rPr>
        <w:t xml:space="preserve">terhadap loyalitas pengguna Bioskop XXI. </w:t>
      </w:r>
      <w:r w:rsidRPr="005433A2">
        <w:rPr>
          <w:rFonts w:ascii="Adobe Garamond Pro" w:hAnsi="Adobe Garamond Pro"/>
          <w:i/>
          <w:iCs/>
        </w:rPr>
        <w:t>Jurnal Ilmiah Manajemen Pemasaran</w:t>
      </w:r>
      <w:r w:rsidRPr="005433A2">
        <w:rPr>
          <w:rFonts w:ascii="Adobe Garamond Pro" w:hAnsi="Adobe Garamond Pro"/>
        </w:rPr>
        <w:t xml:space="preserve">, 17(2), 145–159. </w:t>
      </w:r>
      <w:hyperlink r:id="rId17" w:tgtFrame="_blank" w:history="1">
        <w:r w:rsidRPr="005433A2">
          <w:rPr>
            <w:rStyle w:val="Hyperlink"/>
            <w:rFonts w:ascii="Adobe Garamond Pro" w:hAnsi="Adobe Garamond Pro"/>
          </w:rPr>
          <w:t>https://doi.org/10.24036/jimp.v17i2.12876</w:t>
        </w:r>
      </w:hyperlink>
    </w:p>
    <w:p w14:paraId="71CE9138" w14:textId="46706757" w:rsidR="00A67F58" w:rsidRPr="006D633A" w:rsidRDefault="00A67F58" w:rsidP="003A358D">
      <w:pPr>
        <w:tabs>
          <w:tab w:val="left" w:pos="993"/>
        </w:tabs>
        <w:spacing w:after="80" w:line="360" w:lineRule="auto"/>
        <w:jc w:val="both"/>
        <w:rPr>
          <w:rFonts w:ascii="Adobe Garamond Pro" w:hAnsi="Adobe Garamond Pro" w:cstheme="minorHAnsi"/>
          <w:lang w:val="id-ID"/>
        </w:rPr>
      </w:pPr>
    </w:p>
    <w:sectPr w:rsidR="00A67F58" w:rsidRPr="006D633A" w:rsidSect="00F0521B">
      <w:headerReference w:type="even" r:id="rId18"/>
      <w:headerReference w:type="default" r:id="rId19"/>
      <w:footerReference w:type="even" r:id="rId20"/>
      <w:footerReference w:type="default" r:id="rId21"/>
      <w:headerReference w:type="first" r:id="rId22"/>
      <w:footerReference w:type="first" r:id="rId23"/>
      <w:pgSz w:w="11907" w:h="16840"/>
      <w:pgMar w:top="1701" w:right="1418" w:bottom="1418" w:left="1418" w:header="1077" w:footer="1134" w:gutter="0"/>
      <w:pgNumType w:start="1"/>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F289D" w14:textId="77777777" w:rsidR="00457A58" w:rsidRDefault="00457A58">
      <w:pPr>
        <w:spacing w:line="240" w:lineRule="auto"/>
      </w:pPr>
      <w:r>
        <w:separator/>
      </w:r>
    </w:p>
  </w:endnote>
  <w:endnote w:type="continuationSeparator" w:id="0">
    <w:p w14:paraId="18438A04" w14:textId="77777777" w:rsidR="00457A58" w:rsidRDefault="00457A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Adobe Garamond Pro">
    <w:altName w:val="Garamond"/>
    <w:panose1 w:val="00000000000000000000"/>
    <w:charset w:val="00"/>
    <w:family w:val="roman"/>
    <w:notTrueType/>
    <w:pitch w:val="variable"/>
    <w:sig w:usb0="800000AF" w:usb1="5000205B" w:usb2="00000000" w:usb3="00000000" w:csb0="0000009B"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37220" w14:textId="77777777" w:rsidR="00F0521B" w:rsidRDefault="00F052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38763" w14:textId="646F86AF" w:rsidR="0070148F" w:rsidRDefault="0070148F">
    <w:pPr>
      <w:pStyle w:val="Footer"/>
      <w:jc w:val="right"/>
    </w:pPr>
  </w:p>
  <w:p w14:paraId="05BA9C7E" w14:textId="77777777" w:rsidR="00F0521B" w:rsidRDefault="00F052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0700B" w14:textId="77777777" w:rsidR="00F0521B" w:rsidRDefault="00F052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317E7" w14:textId="77777777" w:rsidR="00457A58" w:rsidRDefault="00457A58">
      <w:pPr>
        <w:spacing w:after="0"/>
      </w:pPr>
      <w:r>
        <w:separator/>
      </w:r>
    </w:p>
  </w:footnote>
  <w:footnote w:type="continuationSeparator" w:id="0">
    <w:p w14:paraId="42D4DA3B" w14:textId="77777777" w:rsidR="00457A58" w:rsidRDefault="00457A5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0F49B" w14:textId="77777777" w:rsidR="00F0521B" w:rsidRDefault="00F052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1930685"/>
      <w:docPartObj>
        <w:docPartGallery w:val="Page Numbers (Top of Page)"/>
        <w:docPartUnique/>
      </w:docPartObj>
    </w:sdtPr>
    <w:sdtEndPr>
      <w:rPr>
        <w:noProof/>
      </w:rPr>
    </w:sdtEndPr>
    <w:sdtContent>
      <w:p w14:paraId="5C9EE268" w14:textId="66922058" w:rsidR="00B61681" w:rsidRDefault="00B6168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F91549F" w14:textId="75B93122" w:rsidR="00A67F58" w:rsidRDefault="00A67F58">
    <w:pPr>
      <w:pStyle w:val="Header"/>
      <w:tabs>
        <w:tab w:val="clear" w:pos="9360"/>
        <w:tab w:val="right" w:pos="9071"/>
      </w:tabs>
      <w:rPr>
        <w:b/>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73CDE" w14:textId="77777777" w:rsidR="00F0521B" w:rsidRDefault="00F052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691024"/>
    <w:multiLevelType w:val="multilevel"/>
    <w:tmpl w:val="2B691024"/>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328D7E3F"/>
    <w:multiLevelType w:val="multilevel"/>
    <w:tmpl w:val="CFA8EEC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val="0"/>
        <w:bCs w:val="0"/>
        <w:i/>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63C1392"/>
    <w:multiLevelType w:val="multilevel"/>
    <w:tmpl w:val="563C13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6F9E62EE"/>
    <w:multiLevelType w:val="hybridMultilevel"/>
    <w:tmpl w:val="1B9231EC"/>
    <w:lvl w:ilvl="0" w:tplc="E6D87F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B4569D9"/>
    <w:multiLevelType w:val="multilevel"/>
    <w:tmpl w:val="7B4569D9"/>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84730488">
    <w:abstractNumId w:val="4"/>
  </w:num>
  <w:num w:numId="2" w16cid:durableId="1305157208">
    <w:abstractNumId w:val="2"/>
  </w:num>
  <w:num w:numId="3" w16cid:durableId="1407998969">
    <w:abstractNumId w:val="1"/>
  </w:num>
  <w:num w:numId="4" w16cid:durableId="1819610323">
    <w:abstractNumId w:val="0"/>
  </w:num>
  <w:num w:numId="5" w16cid:durableId="14257644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MyMTQ2MTY2MzC0NDJS0lEKTi0uzszPAykwrAUAI2Q2PCwAAAA="/>
  </w:docVars>
  <w:rsids>
    <w:rsidRoot w:val="005650A4"/>
    <w:rsid w:val="000078C4"/>
    <w:rsid w:val="00025DB6"/>
    <w:rsid w:val="00031032"/>
    <w:rsid w:val="00063C62"/>
    <w:rsid w:val="000A42D7"/>
    <w:rsid w:val="000B2849"/>
    <w:rsid w:val="000B35C6"/>
    <w:rsid w:val="000C21B4"/>
    <w:rsid w:val="000D7C58"/>
    <w:rsid w:val="000E5900"/>
    <w:rsid w:val="001030F4"/>
    <w:rsid w:val="001051DE"/>
    <w:rsid w:val="00114C46"/>
    <w:rsid w:val="00136424"/>
    <w:rsid w:val="00145CC5"/>
    <w:rsid w:val="001571C4"/>
    <w:rsid w:val="00166D72"/>
    <w:rsid w:val="001B70F5"/>
    <w:rsid w:val="001C3FDB"/>
    <w:rsid w:val="001E6D02"/>
    <w:rsid w:val="00216425"/>
    <w:rsid w:val="002259AD"/>
    <w:rsid w:val="00277062"/>
    <w:rsid w:val="00285A43"/>
    <w:rsid w:val="002A7B2A"/>
    <w:rsid w:val="002B1769"/>
    <w:rsid w:val="002B5ECF"/>
    <w:rsid w:val="002D7413"/>
    <w:rsid w:val="002E5034"/>
    <w:rsid w:val="00301E29"/>
    <w:rsid w:val="003159B5"/>
    <w:rsid w:val="003204D6"/>
    <w:rsid w:val="003249DF"/>
    <w:rsid w:val="0036502D"/>
    <w:rsid w:val="00375867"/>
    <w:rsid w:val="003A358D"/>
    <w:rsid w:val="003C094E"/>
    <w:rsid w:val="003C1503"/>
    <w:rsid w:val="003C6A87"/>
    <w:rsid w:val="003F6FC7"/>
    <w:rsid w:val="0041446E"/>
    <w:rsid w:val="00424746"/>
    <w:rsid w:val="00437227"/>
    <w:rsid w:val="00443468"/>
    <w:rsid w:val="00447AD8"/>
    <w:rsid w:val="0045519C"/>
    <w:rsid w:val="00457A58"/>
    <w:rsid w:val="0047797E"/>
    <w:rsid w:val="0049472D"/>
    <w:rsid w:val="004963B8"/>
    <w:rsid w:val="004A17AE"/>
    <w:rsid w:val="004C4076"/>
    <w:rsid w:val="004C537E"/>
    <w:rsid w:val="004D6876"/>
    <w:rsid w:val="004E3578"/>
    <w:rsid w:val="004F61D6"/>
    <w:rsid w:val="00501F68"/>
    <w:rsid w:val="005030F7"/>
    <w:rsid w:val="0050367E"/>
    <w:rsid w:val="0052005B"/>
    <w:rsid w:val="00523041"/>
    <w:rsid w:val="00524297"/>
    <w:rsid w:val="0053391A"/>
    <w:rsid w:val="005347CA"/>
    <w:rsid w:val="00547A52"/>
    <w:rsid w:val="005500F4"/>
    <w:rsid w:val="005543F0"/>
    <w:rsid w:val="00556B46"/>
    <w:rsid w:val="005650A4"/>
    <w:rsid w:val="00581264"/>
    <w:rsid w:val="005A2492"/>
    <w:rsid w:val="005D5C2F"/>
    <w:rsid w:val="005D626C"/>
    <w:rsid w:val="005E1DC5"/>
    <w:rsid w:val="00613714"/>
    <w:rsid w:val="00617AF1"/>
    <w:rsid w:val="00646626"/>
    <w:rsid w:val="00665AAE"/>
    <w:rsid w:val="00675E55"/>
    <w:rsid w:val="00686CC0"/>
    <w:rsid w:val="006A1DDC"/>
    <w:rsid w:val="006A7CD3"/>
    <w:rsid w:val="006B0C76"/>
    <w:rsid w:val="006C389F"/>
    <w:rsid w:val="006D633A"/>
    <w:rsid w:val="006E7A51"/>
    <w:rsid w:val="0070148F"/>
    <w:rsid w:val="0071766A"/>
    <w:rsid w:val="00736C06"/>
    <w:rsid w:val="00761055"/>
    <w:rsid w:val="00765098"/>
    <w:rsid w:val="007672DE"/>
    <w:rsid w:val="00784947"/>
    <w:rsid w:val="007A27E9"/>
    <w:rsid w:val="007D6383"/>
    <w:rsid w:val="007F3D15"/>
    <w:rsid w:val="007F3E68"/>
    <w:rsid w:val="007F4CCB"/>
    <w:rsid w:val="007F7253"/>
    <w:rsid w:val="007F76D7"/>
    <w:rsid w:val="00813B0C"/>
    <w:rsid w:val="00817C36"/>
    <w:rsid w:val="00825BC7"/>
    <w:rsid w:val="0084297E"/>
    <w:rsid w:val="0089054A"/>
    <w:rsid w:val="0089055F"/>
    <w:rsid w:val="008A3621"/>
    <w:rsid w:val="008E0AE5"/>
    <w:rsid w:val="008E2F8A"/>
    <w:rsid w:val="008F2153"/>
    <w:rsid w:val="00912837"/>
    <w:rsid w:val="00937239"/>
    <w:rsid w:val="00950B06"/>
    <w:rsid w:val="00966762"/>
    <w:rsid w:val="00970644"/>
    <w:rsid w:val="0099193E"/>
    <w:rsid w:val="009C2E65"/>
    <w:rsid w:val="009C3891"/>
    <w:rsid w:val="009D1338"/>
    <w:rsid w:val="009F7AED"/>
    <w:rsid w:val="00A3453D"/>
    <w:rsid w:val="00A40474"/>
    <w:rsid w:val="00A44F9A"/>
    <w:rsid w:val="00A475B4"/>
    <w:rsid w:val="00A67F58"/>
    <w:rsid w:val="00A70A1E"/>
    <w:rsid w:val="00A75746"/>
    <w:rsid w:val="00A86DD4"/>
    <w:rsid w:val="00AC538B"/>
    <w:rsid w:val="00AE1306"/>
    <w:rsid w:val="00AF6096"/>
    <w:rsid w:val="00B03699"/>
    <w:rsid w:val="00B40987"/>
    <w:rsid w:val="00B426DD"/>
    <w:rsid w:val="00B61681"/>
    <w:rsid w:val="00B67B0B"/>
    <w:rsid w:val="00B712B7"/>
    <w:rsid w:val="00B7756E"/>
    <w:rsid w:val="00B80FF1"/>
    <w:rsid w:val="00B830A2"/>
    <w:rsid w:val="00BB5818"/>
    <w:rsid w:val="00BE0AC4"/>
    <w:rsid w:val="00C0416C"/>
    <w:rsid w:val="00C103E5"/>
    <w:rsid w:val="00C12DFC"/>
    <w:rsid w:val="00C17760"/>
    <w:rsid w:val="00C26FFB"/>
    <w:rsid w:val="00C33BF5"/>
    <w:rsid w:val="00C450FE"/>
    <w:rsid w:val="00C70657"/>
    <w:rsid w:val="00C7396C"/>
    <w:rsid w:val="00C92015"/>
    <w:rsid w:val="00C954A2"/>
    <w:rsid w:val="00CA1C6B"/>
    <w:rsid w:val="00CE2213"/>
    <w:rsid w:val="00CE6F01"/>
    <w:rsid w:val="00CE7F70"/>
    <w:rsid w:val="00CF7EC4"/>
    <w:rsid w:val="00D02753"/>
    <w:rsid w:val="00D02DBC"/>
    <w:rsid w:val="00D34E4D"/>
    <w:rsid w:val="00D623C7"/>
    <w:rsid w:val="00D74F25"/>
    <w:rsid w:val="00D75D24"/>
    <w:rsid w:val="00DA7AD6"/>
    <w:rsid w:val="00DC3EFC"/>
    <w:rsid w:val="00DD3E8A"/>
    <w:rsid w:val="00DD455D"/>
    <w:rsid w:val="00DF548B"/>
    <w:rsid w:val="00E410BF"/>
    <w:rsid w:val="00E505A6"/>
    <w:rsid w:val="00E628A0"/>
    <w:rsid w:val="00E63BD0"/>
    <w:rsid w:val="00E709A5"/>
    <w:rsid w:val="00E70EBC"/>
    <w:rsid w:val="00E75EBA"/>
    <w:rsid w:val="00E84806"/>
    <w:rsid w:val="00E94E62"/>
    <w:rsid w:val="00E95657"/>
    <w:rsid w:val="00E970DA"/>
    <w:rsid w:val="00EA2986"/>
    <w:rsid w:val="00EA6BFE"/>
    <w:rsid w:val="00EC0FE8"/>
    <w:rsid w:val="00EC7FE3"/>
    <w:rsid w:val="00ED544A"/>
    <w:rsid w:val="00EE3405"/>
    <w:rsid w:val="00F03310"/>
    <w:rsid w:val="00F0521B"/>
    <w:rsid w:val="00F146CE"/>
    <w:rsid w:val="00F355EB"/>
    <w:rsid w:val="00F37A93"/>
    <w:rsid w:val="00F441FD"/>
    <w:rsid w:val="00F51116"/>
    <w:rsid w:val="00F67B60"/>
    <w:rsid w:val="00F80500"/>
    <w:rsid w:val="00F97FF3"/>
    <w:rsid w:val="00FD60D2"/>
    <w:rsid w:val="00FE051A"/>
    <w:rsid w:val="00FE0778"/>
    <w:rsid w:val="2C8FD808"/>
    <w:rsid w:val="3DBFC16A"/>
    <w:rsid w:val="4EFFC72C"/>
    <w:rsid w:val="73FF4E0D"/>
    <w:rsid w:val="7F3B593B"/>
    <w:rsid w:val="ED3F0F0C"/>
    <w:rsid w:val="F7E75899"/>
    <w:rsid w:val="F93F5A64"/>
    <w:rsid w:val="FBEBE8A2"/>
    <w:rsid w:val="FBFBA8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F35AC5D"/>
  <w15:docId w15:val="{05398A4E-1274-4A6F-A7B5-1CE899B89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ListParagraph">
    <w:name w:val="List Paragraph"/>
    <w:basedOn w:val="Normal"/>
    <w:uiPriority w:val="34"/>
    <w:qFormat/>
    <w:pPr>
      <w:ind w:left="720"/>
      <w:contextualSpacing/>
    </w:pPr>
  </w:style>
  <w:style w:type="character" w:styleId="PlaceholderText">
    <w:name w:val="Placeholder Text"/>
    <w:basedOn w:val="DefaultParagraphFont"/>
    <w:uiPriority w:val="99"/>
    <w:semiHidden/>
    <w:rPr>
      <w:color w:val="808080"/>
    </w:rPr>
  </w:style>
  <w:style w:type="table" w:customStyle="1" w:styleId="PlainTable11">
    <w:name w:val="Plain Table 11"/>
    <w:basedOn w:val="TableNormal"/>
    <w:uiPriority w:val="4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bstract">
    <w:name w:val="Abstract"/>
    <w:pPr>
      <w:spacing w:after="200"/>
      <w:ind w:left="2160"/>
      <w:jc w:val="both"/>
    </w:pPr>
    <w:rPr>
      <w:rFonts w:ascii="Times New Roman" w:eastAsia="SimSun" w:hAnsi="Times New Roman" w:cs="Times New Roman"/>
      <w:b/>
      <w:bCs/>
      <w:sz w:val="18"/>
      <w:szCs w:val="18"/>
      <w:lang w:bidi="en-US"/>
    </w:rPr>
  </w:style>
  <w:style w:type="paragraph" w:customStyle="1" w:styleId="Author">
    <w:name w:val="Author"/>
    <w:pPr>
      <w:spacing w:before="360" w:after="40"/>
      <w:ind w:left="2160"/>
      <w:jc w:val="center"/>
    </w:pPr>
    <w:rPr>
      <w:rFonts w:ascii="Times New Roman" w:eastAsia="SimSun" w:hAnsi="Times New Roman" w:cs="Times New Roman"/>
      <w:lang w:bidi="en-US"/>
    </w:rPr>
  </w:style>
  <w:style w:type="paragraph" w:customStyle="1" w:styleId="keywords">
    <w:name w:val="key words"/>
    <w:pPr>
      <w:spacing w:after="120"/>
      <w:ind w:left="2160" w:firstLine="288"/>
      <w:jc w:val="both"/>
    </w:pPr>
    <w:rPr>
      <w:rFonts w:ascii="Times New Roman" w:eastAsia="SimSun" w:hAnsi="Times New Roman" w:cs="Times New Roman"/>
      <w:b/>
      <w:bCs/>
      <w:i/>
      <w:iCs/>
      <w:sz w:val="18"/>
      <w:szCs w:val="18"/>
      <w:lang w:bidi="en-US"/>
    </w:rPr>
  </w:style>
  <w:style w:type="paragraph" w:customStyle="1" w:styleId="papertitle">
    <w:name w:val="paper title"/>
    <w:pPr>
      <w:spacing w:after="120"/>
      <w:ind w:left="2160"/>
      <w:jc w:val="center"/>
    </w:pPr>
    <w:rPr>
      <w:rFonts w:ascii="Times New Roman" w:eastAsia="MS Mincho" w:hAnsi="Times New Roman" w:cs="Times New Roman"/>
      <w:sz w:val="48"/>
      <w:szCs w:val="48"/>
      <w:lang w:bidi="en-US"/>
    </w:rPr>
  </w:style>
  <w:style w:type="character" w:styleId="FollowedHyperlink">
    <w:name w:val="FollowedHyperlink"/>
    <w:basedOn w:val="DefaultParagraphFont"/>
    <w:uiPriority w:val="99"/>
    <w:semiHidden/>
    <w:unhideWhenUsed/>
    <w:rsid w:val="00ED544A"/>
    <w:rPr>
      <w:color w:val="954F72" w:themeColor="followedHyperlink"/>
      <w:u w:val="single"/>
    </w:rPr>
  </w:style>
  <w:style w:type="character" w:styleId="UnresolvedMention">
    <w:name w:val="Unresolved Mention"/>
    <w:basedOn w:val="DefaultParagraphFont"/>
    <w:uiPriority w:val="99"/>
    <w:semiHidden/>
    <w:unhideWhenUsed/>
    <w:rsid w:val="00ED544A"/>
    <w:rPr>
      <w:color w:val="605E5C"/>
      <w:shd w:val="clear" w:color="auto" w:fill="E1DFDD"/>
    </w:rPr>
  </w:style>
  <w:style w:type="paragraph" w:customStyle="1" w:styleId="ANAMETN">
    <w:name w:val="ANA METİN"/>
    <w:basedOn w:val="Normal"/>
    <w:uiPriority w:val="99"/>
    <w:rsid w:val="0099193E"/>
    <w:pPr>
      <w:suppressAutoHyphens/>
      <w:autoSpaceDE w:val="0"/>
      <w:autoSpaceDN w:val="0"/>
      <w:adjustRightInd w:val="0"/>
      <w:spacing w:after="85" w:line="288" w:lineRule="auto"/>
      <w:jc w:val="both"/>
      <w:textAlignment w:val="center"/>
    </w:pPr>
    <w:rPr>
      <w:rFonts w:ascii="Adobe Garamond Pro" w:eastAsia="Times New Roman" w:hAnsi="Adobe Garamond Pro" w:cs="Adobe Garamond Pro"/>
      <w:color w:val="00000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i.org/10.5267/j.ijdns.2021.8.003" TargetMode="External"/><Relationship Id="rId13" Type="http://schemas.openxmlformats.org/officeDocument/2006/relationships/hyperlink" Target="https://www.google.com/search?q=https://doi.org/10.32734/jebs.v9i3.5512"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google.com/search?q=https://doi.org/10.1080/23311975.2024.2312001" TargetMode="External"/><Relationship Id="rId17" Type="http://schemas.openxmlformats.org/officeDocument/2006/relationships/hyperlink" Target="https://www.google.com/search?q=https://doi.org/10.24036/jimp.v17i2.12876"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1016/j.jtcs.2025.100214"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search?q=https://doi.org/10.21009/jrmb.v15i2.14321"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oogle.com/search?q=https://doi.org/10.1016/j.ijhcm.2023.01.004" TargetMode="External"/><Relationship Id="rId23" Type="http://schemas.openxmlformats.org/officeDocument/2006/relationships/footer" Target="footer3.xml"/><Relationship Id="rId10" Type="http://schemas.openxmlformats.org/officeDocument/2006/relationships/hyperlink" Target="https://www.google.com/search?q=https://doi.org/10.1016/j.jcbs.2023.04.012"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google.com/search?q=https://doi.org/10.31219/osf.io/jpdi.v3i1.8842" TargetMode="External"/><Relationship Id="rId14" Type="http://schemas.openxmlformats.org/officeDocument/2006/relationships/hyperlink" Target="https://doi.org/10.1016/j.jretconser.2022.103045"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10</Pages>
  <Words>5024</Words>
  <Characters>28641</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HP2</dc:creator>
  <cp:lastModifiedBy>NXKEXSN00630106F882N00@hotmail.com</cp:lastModifiedBy>
  <cp:revision>7</cp:revision>
  <cp:lastPrinted>2018-10-25T11:37:00Z</cp:lastPrinted>
  <dcterms:created xsi:type="dcterms:W3CDTF">2026-07-21T15:14:00Z</dcterms:created>
  <dcterms:modified xsi:type="dcterms:W3CDTF">2026-07-23T15:19:00Z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1033-4.2.0.7541</vt:lpwstr>
  </property>
</Properties>
</file>