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67F58" w14:paraId="25102043" w14:textId="77777777">
        <w:tc>
          <w:tcPr>
            <w:tcW w:w="9175" w:type="dxa"/>
          </w:tcPr>
          <w:p w14:paraId="5B5E87C3" w14:textId="08369819" w:rsidR="00A67F58" w:rsidRDefault="004624D2" w:rsidP="002215B6">
            <w:pPr>
              <w:pStyle w:val="papertitle"/>
              <w:spacing w:after="0"/>
              <w:ind w:left="0"/>
              <w:rPr>
                <w:rFonts w:ascii="Arial" w:hAnsi="Arial" w:cs="Arial"/>
                <w:b/>
                <w:color w:val="2E74B5" w:themeColor="accent1" w:themeShade="BF"/>
                <w:sz w:val="40"/>
                <w:szCs w:val="40"/>
                <w:lang w:val="sv-SE"/>
              </w:rPr>
            </w:pPr>
            <w:r>
              <w:rPr>
                <w:rFonts w:ascii="Arial" w:hAnsi="Arial" w:cs="Arial"/>
                <w:b/>
                <w:color w:val="2E74B5" w:themeColor="accent1" w:themeShade="BF"/>
                <w:sz w:val="40"/>
                <w:szCs w:val="40"/>
                <w:lang w:val="sv-SE"/>
              </w:rPr>
              <w:t>Kesenjangan Pelaporan Keberlanjutan dan Realitas Ekologis: Studi Literatur Deforestasi dan Audit Lingkungan Pada Industri Kelapa Sawit</w:t>
            </w:r>
          </w:p>
          <w:p w14:paraId="78887EAD" w14:textId="77777777" w:rsidR="002215B6" w:rsidRDefault="002215B6" w:rsidP="002215B6">
            <w:pPr>
              <w:pStyle w:val="papertitle"/>
              <w:spacing w:after="0"/>
              <w:ind w:left="0"/>
              <w:rPr>
                <w:rFonts w:ascii="Arial" w:hAnsi="Arial" w:cs="Arial"/>
                <w:b/>
                <w:color w:val="2E74B5" w:themeColor="accent1" w:themeShade="BF"/>
                <w:sz w:val="40"/>
                <w:szCs w:val="40"/>
                <w:lang w:val="sv-SE"/>
              </w:rPr>
            </w:pPr>
          </w:p>
          <w:p w14:paraId="2E451BB7" w14:textId="3ADE86D2" w:rsidR="002215B6" w:rsidRPr="002215B6" w:rsidRDefault="002215B6" w:rsidP="002215B6">
            <w:pPr>
              <w:jc w:val="center"/>
              <w:rPr>
                <w:rFonts w:ascii="Aparajita" w:hAnsi="Aparajita" w:cs="Aparajita"/>
                <w:sz w:val="30"/>
                <w:szCs w:val="30"/>
                <w:vertAlign w:val="superscript"/>
              </w:rPr>
            </w:pPr>
            <w:r w:rsidRPr="006A3707">
              <w:rPr>
                <w:rFonts w:ascii="Arial" w:hAnsi="Arial" w:cs="Arial"/>
              </w:rPr>
              <w:t>Frans Niko Adrian Manurung</w:t>
            </w:r>
            <w:r w:rsidRPr="006A3707">
              <w:rPr>
                <w:rFonts w:ascii="Arial" w:hAnsi="Arial" w:cs="Arial"/>
                <w:vertAlign w:val="superscript"/>
              </w:rPr>
              <w:t>1</w:t>
            </w:r>
            <w:r w:rsidRPr="006A3707">
              <w:rPr>
                <w:rFonts w:ascii="Arial" w:hAnsi="Arial" w:cs="Arial"/>
              </w:rPr>
              <w:t>, Gresia Oktaviyanti Rumapea</w:t>
            </w:r>
            <w:r w:rsidRPr="006A3707">
              <w:rPr>
                <w:rFonts w:ascii="Arial" w:hAnsi="Arial" w:cs="Arial"/>
                <w:vertAlign w:val="superscript"/>
              </w:rPr>
              <w:t>2</w:t>
            </w:r>
            <w:r w:rsidRPr="006A3707">
              <w:rPr>
                <w:rFonts w:ascii="Arial" w:hAnsi="Arial" w:cs="Arial"/>
              </w:rPr>
              <w:t>, Ary Putra Jaya Lumban</w:t>
            </w:r>
            <w:r>
              <w:rPr>
                <w:rFonts w:ascii="Arial" w:hAnsi="Arial" w:cs="Arial"/>
              </w:rPr>
              <w:t xml:space="preserve"> </w:t>
            </w:r>
            <w:r w:rsidRPr="006A3707">
              <w:rPr>
                <w:rFonts w:ascii="Arial" w:hAnsi="Arial" w:cs="Arial"/>
              </w:rPr>
              <w:t>batu</w:t>
            </w:r>
            <w:r w:rsidRPr="006A3707">
              <w:rPr>
                <w:rFonts w:ascii="Arial" w:hAnsi="Arial" w:cs="Arial"/>
                <w:vertAlign w:val="superscript"/>
              </w:rPr>
              <w:t>3</w:t>
            </w:r>
            <w:r w:rsidRPr="006A3707">
              <w:rPr>
                <w:rFonts w:ascii="Arial" w:hAnsi="Arial" w:cs="Arial"/>
              </w:rPr>
              <w:t>,</w:t>
            </w:r>
            <w:r>
              <w:rPr>
                <w:rFonts w:ascii="Arial" w:hAnsi="Arial" w:cs="Arial"/>
              </w:rPr>
              <w:t xml:space="preserve"> </w:t>
            </w:r>
            <w:r w:rsidRPr="006A3707">
              <w:rPr>
                <w:rFonts w:ascii="Arial" w:hAnsi="Arial" w:cs="Arial"/>
              </w:rPr>
              <w:t>Mazmur Pardede</w:t>
            </w:r>
            <w:r w:rsidRPr="006A3707">
              <w:rPr>
                <w:rFonts w:ascii="Arial" w:hAnsi="Arial" w:cs="Arial"/>
                <w:vertAlign w:val="superscript"/>
              </w:rPr>
              <w:t>4</w:t>
            </w:r>
          </w:p>
          <w:p w14:paraId="6DB6A9D4" w14:textId="58C07C0D" w:rsidR="002215B6" w:rsidRDefault="002215B6" w:rsidP="005F21AA">
            <w:pPr>
              <w:pStyle w:val="Author"/>
              <w:spacing w:before="0" w:after="0"/>
              <w:ind w:left="0"/>
              <w:rPr>
                <w:rFonts w:ascii="Arial" w:hAnsi="Arial" w:cs="Arial"/>
                <w:sz w:val="18"/>
                <w:szCs w:val="18"/>
              </w:rPr>
            </w:pPr>
            <w:r w:rsidRPr="006D633A">
              <w:rPr>
                <w:rFonts w:ascii="Arial" w:hAnsi="Arial" w:cs="Arial"/>
                <w:sz w:val="18"/>
                <w:szCs w:val="18"/>
                <w:vertAlign w:val="superscript"/>
              </w:rPr>
              <w:t>1</w:t>
            </w:r>
            <w:r w:rsidR="005F21AA">
              <w:rPr>
                <w:rFonts w:ascii="Arial" w:hAnsi="Arial" w:cs="Arial"/>
                <w:sz w:val="18"/>
                <w:szCs w:val="18"/>
                <w:vertAlign w:val="superscript"/>
              </w:rPr>
              <w:t>,2,3,4</w:t>
            </w:r>
            <w:r w:rsidRPr="006D633A">
              <w:rPr>
                <w:rFonts w:ascii="Arial" w:hAnsi="Arial" w:cs="Arial"/>
                <w:sz w:val="18"/>
                <w:szCs w:val="18"/>
                <w:vertAlign w:val="superscript"/>
              </w:rPr>
              <w:t xml:space="preserve"> </w:t>
            </w:r>
            <w:r>
              <w:rPr>
                <w:rFonts w:ascii="Arial" w:hAnsi="Arial" w:cs="Arial"/>
                <w:sz w:val="18"/>
                <w:szCs w:val="18"/>
              </w:rPr>
              <w:t>A</w:t>
            </w:r>
            <w:r w:rsidRPr="006A3707">
              <w:rPr>
                <w:rFonts w:ascii="Arial" w:hAnsi="Arial" w:cs="Arial"/>
                <w:sz w:val="18"/>
                <w:szCs w:val="18"/>
              </w:rPr>
              <w:t>ccounting, Economics and Business, Universitas Kristen Indonesia, Jakarta, Indonesia</w:t>
            </w:r>
          </w:p>
          <w:p w14:paraId="732C9ED0" w14:textId="77777777" w:rsidR="005F21AA" w:rsidRPr="005F21AA" w:rsidRDefault="005F21AA" w:rsidP="005F21AA">
            <w:pPr>
              <w:pStyle w:val="Author"/>
              <w:spacing w:before="0" w:after="0"/>
              <w:ind w:left="0"/>
              <w:rPr>
                <w:rFonts w:ascii="Arial" w:hAnsi="Arial" w:cs="Arial"/>
                <w:sz w:val="18"/>
                <w:szCs w:val="18"/>
              </w:rPr>
            </w:pPr>
          </w:p>
          <w:p w14:paraId="1844DE48" w14:textId="6CFF66C0" w:rsidR="002215B6" w:rsidRPr="006D633A" w:rsidRDefault="002215B6" w:rsidP="002215B6">
            <w:pPr>
              <w:pStyle w:val="papertitle"/>
              <w:spacing w:after="0"/>
              <w:ind w:left="0"/>
              <w:rPr>
                <w:rFonts w:ascii="Arial" w:hAnsi="Arial" w:cs="Arial"/>
                <w:b/>
                <w:sz w:val="40"/>
                <w:szCs w:val="40"/>
                <w:lang w:val="sv-SE"/>
              </w:rPr>
            </w:pPr>
            <w:r>
              <w:rPr>
                <w:rFonts w:ascii="Arial" w:hAnsi="Arial" w:cs="Arial"/>
                <w:sz w:val="14"/>
                <w:szCs w:val="14"/>
                <w:shd w:val="clear" w:color="auto" w:fill="FFFFFF"/>
              </w:rPr>
              <w:t>*</w:t>
            </w:r>
            <w:r w:rsidRPr="005E32E7">
              <w:rPr>
                <w:rFonts w:ascii="Arial" w:hAnsi="Arial" w:cs="Arial"/>
                <w:sz w:val="18"/>
                <w:szCs w:val="18"/>
                <w:shd w:val="clear" w:color="auto" w:fill="FFFFFF"/>
              </w:rPr>
              <w:t>Penulis Korespondensi:</w:t>
            </w:r>
            <w:r>
              <w:rPr>
                <w:rFonts w:ascii="Arial" w:hAnsi="Arial" w:cs="Arial"/>
                <w:sz w:val="18"/>
                <w:szCs w:val="18"/>
                <w:shd w:val="clear" w:color="auto" w:fill="FFFFFF"/>
              </w:rPr>
              <w:t xml:space="preserve"> </w:t>
            </w:r>
            <w:r w:rsidRPr="002215B6">
              <w:rPr>
                <w:rFonts w:ascii="Arial" w:hAnsi="Arial" w:cs="Arial"/>
                <w:sz w:val="18"/>
                <w:szCs w:val="18"/>
                <w:shd w:val="clear" w:color="auto" w:fill="FFFFFF"/>
              </w:rPr>
              <w:t>Mazmur.pardede@uki.ac.id</w:t>
            </w:r>
          </w:p>
        </w:tc>
      </w:tr>
    </w:tbl>
    <w:p w14:paraId="61FAF962" w14:textId="50CB2ADE" w:rsidR="00A67F58" w:rsidRPr="00F74CE5" w:rsidRDefault="00F74CE5" w:rsidP="00F74CE5">
      <w:pPr>
        <w:pStyle w:val="Author"/>
        <w:spacing w:before="0" w:after="0"/>
        <w:ind w:left="1276" w:hanging="1276"/>
        <w:jc w:val="left"/>
        <w:rPr>
          <w:rFonts w:ascii="Arial" w:hAnsi="Arial" w:cs="Arial"/>
          <w:sz w:val="18"/>
          <w:szCs w:val="18"/>
        </w:rPr>
      </w:pPr>
      <w:r>
        <w:rPr>
          <w:rFonts w:ascii="Arial" w:hAnsi="Arial" w:cs="Arial"/>
          <w:sz w:val="18"/>
          <w:szCs w:val="18"/>
        </w:rPr>
        <w:t>.</w:t>
      </w: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A67F58" w14:paraId="5E598844" w14:textId="77777777">
        <w:tc>
          <w:tcPr>
            <w:tcW w:w="6408" w:type="dxa"/>
          </w:tcPr>
          <w:p w14:paraId="743E0901" w14:textId="77777777" w:rsidR="00A67F58" w:rsidRPr="00DC3EFC" w:rsidRDefault="00825BC7">
            <w:pPr>
              <w:pStyle w:val="Abstract"/>
              <w:spacing w:before="240" w:after="240"/>
              <w:ind w:left="0"/>
              <w:jc w:val="left"/>
              <w:rPr>
                <w:rFonts w:ascii="Arial" w:hAnsi="Arial" w:cs="Arial"/>
                <w:bCs w:val="0"/>
                <w:iCs/>
                <w:color w:val="2E74B5" w:themeColor="accent1" w:themeShade="BF"/>
                <w:sz w:val="22"/>
                <w:szCs w:val="22"/>
              </w:rPr>
            </w:pPr>
            <w:r w:rsidRPr="00DC3EFC">
              <w:rPr>
                <w:rFonts w:ascii="Arial" w:hAnsi="Arial" w:cs="Arial"/>
                <w:bCs w:val="0"/>
                <w:iCs/>
                <w:color w:val="2E74B5" w:themeColor="accent1" w:themeShade="BF"/>
                <w:sz w:val="22"/>
                <w:szCs w:val="22"/>
              </w:rPr>
              <w:t>ABSTRACT</w:t>
            </w:r>
          </w:p>
        </w:tc>
        <w:tc>
          <w:tcPr>
            <w:tcW w:w="540" w:type="dxa"/>
            <w:tcBorders>
              <w:bottom w:val="nil"/>
            </w:tcBorders>
          </w:tcPr>
          <w:p w14:paraId="0AEC547E" w14:textId="77777777" w:rsidR="00A67F58" w:rsidRDefault="00A67F58">
            <w:pPr>
              <w:pStyle w:val="Author"/>
              <w:spacing w:before="240" w:after="240"/>
              <w:ind w:left="0"/>
              <w:rPr>
                <w:rFonts w:asciiTheme="minorHAnsi" w:hAnsiTheme="minorHAnsi" w:cstheme="minorHAnsi"/>
                <w:sz w:val="22"/>
                <w:szCs w:val="22"/>
              </w:rPr>
            </w:pPr>
          </w:p>
        </w:tc>
        <w:tc>
          <w:tcPr>
            <w:tcW w:w="2250" w:type="dxa"/>
          </w:tcPr>
          <w:p w14:paraId="27721342" w14:textId="77777777" w:rsidR="00A67F58" w:rsidRPr="00DC3EFC" w:rsidRDefault="00825BC7">
            <w:pPr>
              <w:pStyle w:val="Author"/>
              <w:spacing w:before="240" w:after="240"/>
              <w:ind w:left="0"/>
              <w:jc w:val="left"/>
              <w:rPr>
                <w:rFonts w:ascii="Arial" w:hAnsi="Arial" w:cs="Arial"/>
                <w:b/>
                <w:bCs/>
                <w:color w:val="2E74B5" w:themeColor="accent1" w:themeShade="BF"/>
                <w:sz w:val="22"/>
                <w:szCs w:val="22"/>
              </w:rPr>
            </w:pPr>
            <w:r w:rsidRPr="00DC3EFC">
              <w:rPr>
                <w:rFonts w:ascii="Arial" w:hAnsi="Arial" w:cs="Arial"/>
                <w:b/>
                <w:bCs/>
                <w:color w:val="2E74B5" w:themeColor="accent1" w:themeShade="BF"/>
                <w:sz w:val="22"/>
                <w:szCs w:val="22"/>
              </w:rPr>
              <w:t>ARTICLE INFO</w:t>
            </w:r>
          </w:p>
        </w:tc>
      </w:tr>
      <w:tr w:rsidR="00A67F58" w14:paraId="0F9B7F7B" w14:textId="77777777">
        <w:tc>
          <w:tcPr>
            <w:tcW w:w="6408" w:type="dxa"/>
          </w:tcPr>
          <w:p w14:paraId="0708A9A2" w14:textId="2C750152" w:rsidR="00A67F58" w:rsidRDefault="005313C7" w:rsidP="005313C7">
            <w:pPr>
              <w:spacing w:before="240" w:after="0" w:line="240" w:lineRule="auto"/>
              <w:jc w:val="both"/>
              <w:rPr>
                <w:rFonts w:cstheme="minorHAnsi"/>
              </w:rPr>
            </w:pPr>
            <w:r w:rsidRPr="005313C7">
              <w:rPr>
                <w:rFonts w:ascii="Adobe Garamond Pro" w:hAnsi="Adobe Garamond Pro" w:cs="Aparajita"/>
              </w:rPr>
              <w:t>This study aims to examine the gap between corporate sustainability reporting and the real ecological situation, especially regarding deforestation in the palm oil industry. Using the Systematic Literature Review (SLR) method, the research evaluates 87 scientific articles indexed in Scopus (Q1–Q4) from reputable publishers over the period 2007–2025. The findings show a significant shift in methodology, with recent research (2021–2025) beginning to integrate spatial analysis and remote sensing to verify corporate claims of deforestation-free status. The main results reveal that although the quantity of sustainability reports has increased, their effectiveness in reducing deforestation rates is still limited by weak independent environmental audits and the complexity of global supply chains. The study concludes that digital transparency and aligning biophysical data with managerial reports are essential in responding to international regulatory pressures such as the EUDR.</w:t>
            </w:r>
          </w:p>
        </w:tc>
        <w:tc>
          <w:tcPr>
            <w:tcW w:w="540" w:type="dxa"/>
            <w:tcBorders>
              <w:top w:val="nil"/>
              <w:bottom w:val="nil"/>
            </w:tcBorders>
          </w:tcPr>
          <w:p w14:paraId="72605E6D" w14:textId="77777777" w:rsidR="00A67F58" w:rsidRDefault="00A67F58">
            <w:pPr>
              <w:pStyle w:val="Author"/>
              <w:spacing w:before="0" w:after="0"/>
              <w:ind w:left="0"/>
              <w:jc w:val="left"/>
              <w:rPr>
                <w:rFonts w:asciiTheme="minorHAnsi" w:hAnsiTheme="minorHAnsi" w:cstheme="minorHAnsi"/>
                <w:sz w:val="22"/>
                <w:szCs w:val="22"/>
              </w:rPr>
            </w:pPr>
          </w:p>
        </w:tc>
        <w:tc>
          <w:tcPr>
            <w:tcW w:w="2250" w:type="dxa"/>
          </w:tcPr>
          <w:p w14:paraId="76136CBD" w14:textId="77777777" w:rsidR="00A67F58" w:rsidRPr="007672DE" w:rsidRDefault="00825BC7">
            <w:pPr>
              <w:pStyle w:val="keywords"/>
              <w:tabs>
                <w:tab w:val="left" w:pos="1530"/>
              </w:tabs>
              <w:spacing w:before="240" w:after="0"/>
              <w:ind w:left="0" w:firstLine="0"/>
              <w:jc w:val="left"/>
              <w:rPr>
                <w:rFonts w:ascii="Adobe Garamond Pro" w:hAnsi="Adobe Garamond Pro" w:cstheme="minorHAnsi"/>
                <w:b w:val="0"/>
                <w:i w:val="0"/>
                <w:sz w:val="20"/>
                <w:szCs w:val="20"/>
              </w:rPr>
            </w:pPr>
            <w:r w:rsidRPr="007672DE">
              <w:rPr>
                <w:rFonts w:ascii="Adobe Garamond Pro" w:hAnsi="Adobe Garamond Pro" w:cstheme="minorHAnsi"/>
                <w:b w:val="0"/>
                <w:i w:val="0"/>
                <w:sz w:val="20"/>
                <w:szCs w:val="20"/>
              </w:rPr>
              <w:t xml:space="preserve">Keywords: </w:t>
            </w:r>
          </w:p>
          <w:p w14:paraId="218287C6" w14:textId="50897DC6" w:rsidR="005313C7" w:rsidRPr="00B003F0" w:rsidRDefault="005313C7">
            <w:pPr>
              <w:pStyle w:val="keywords"/>
              <w:tabs>
                <w:tab w:val="left" w:pos="1530"/>
              </w:tabs>
              <w:spacing w:after="0"/>
              <w:ind w:left="0" w:firstLine="0"/>
              <w:jc w:val="left"/>
              <w:rPr>
                <w:rFonts w:ascii="Adobe Garamond Pro" w:hAnsi="Adobe Garamond Pro" w:cstheme="minorHAnsi"/>
                <w:b w:val="0"/>
                <w:i w:val="0"/>
                <w:sz w:val="20"/>
                <w:szCs w:val="20"/>
              </w:rPr>
            </w:pPr>
            <w:r w:rsidRPr="00B003F0">
              <w:rPr>
                <w:rFonts w:ascii="Adobe Garamond Pro" w:hAnsi="Adobe Garamond Pro" w:cstheme="minorHAnsi"/>
                <w:b w:val="0"/>
                <w:i w:val="0"/>
                <w:sz w:val="20"/>
                <w:szCs w:val="20"/>
              </w:rPr>
              <w:t>Palm Oil,</w:t>
            </w:r>
          </w:p>
          <w:p w14:paraId="3270146C" w14:textId="1FB915F9" w:rsidR="005313C7" w:rsidRPr="00B003F0" w:rsidRDefault="005313C7">
            <w:pPr>
              <w:pStyle w:val="keywords"/>
              <w:tabs>
                <w:tab w:val="left" w:pos="1530"/>
              </w:tabs>
              <w:spacing w:after="0"/>
              <w:ind w:left="0" w:firstLine="0"/>
              <w:jc w:val="left"/>
              <w:rPr>
                <w:rFonts w:ascii="Adobe Garamond Pro" w:hAnsi="Adobe Garamond Pro" w:cstheme="minorHAnsi"/>
                <w:b w:val="0"/>
                <w:i w:val="0"/>
                <w:sz w:val="20"/>
                <w:szCs w:val="20"/>
              </w:rPr>
            </w:pPr>
            <w:r w:rsidRPr="00B003F0">
              <w:rPr>
                <w:rFonts w:ascii="Adobe Garamond Pro" w:hAnsi="Adobe Garamond Pro" w:cstheme="minorHAnsi"/>
                <w:b w:val="0"/>
                <w:i w:val="0"/>
                <w:sz w:val="20"/>
                <w:szCs w:val="20"/>
              </w:rPr>
              <w:t>Deforestation</w:t>
            </w:r>
            <w:r w:rsidR="00825BC7" w:rsidRPr="00B003F0">
              <w:rPr>
                <w:rFonts w:ascii="Adobe Garamond Pro" w:hAnsi="Adobe Garamond Pro" w:cstheme="minorHAnsi"/>
                <w:b w:val="0"/>
                <w:i w:val="0"/>
                <w:sz w:val="20"/>
                <w:szCs w:val="20"/>
              </w:rPr>
              <w:t>,</w:t>
            </w:r>
            <w:r w:rsidRPr="00B003F0">
              <w:rPr>
                <w:rFonts w:ascii="Adobe Garamond Pro" w:hAnsi="Adobe Garamond Pro" w:cstheme="minorHAnsi"/>
                <w:b w:val="0"/>
                <w:i w:val="0"/>
                <w:sz w:val="20"/>
                <w:szCs w:val="20"/>
              </w:rPr>
              <w:t xml:space="preserve"> </w:t>
            </w:r>
          </w:p>
          <w:p w14:paraId="3730F5E2" w14:textId="212CAB4F" w:rsidR="00A67F58" w:rsidRPr="00B003F0" w:rsidRDefault="005313C7" w:rsidP="005313C7">
            <w:pPr>
              <w:pStyle w:val="keywords"/>
              <w:tabs>
                <w:tab w:val="left" w:pos="1530"/>
              </w:tabs>
              <w:spacing w:after="0"/>
              <w:ind w:left="0" w:firstLine="0"/>
              <w:jc w:val="left"/>
              <w:rPr>
                <w:rFonts w:ascii="Adobe Garamond Pro" w:hAnsi="Adobe Garamond Pro" w:cstheme="minorHAnsi"/>
                <w:b w:val="0"/>
                <w:i w:val="0"/>
                <w:sz w:val="20"/>
                <w:szCs w:val="20"/>
              </w:rPr>
            </w:pPr>
            <w:r w:rsidRPr="00B003F0">
              <w:rPr>
                <w:rFonts w:ascii="Adobe Garamond Pro" w:hAnsi="Adobe Garamond Pro" w:cstheme="minorHAnsi"/>
                <w:b w:val="0"/>
                <w:i w:val="0"/>
                <w:sz w:val="20"/>
                <w:szCs w:val="20"/>
              </w:rPr>
              <w:t>Sustainability Reporting,</w:t>
            </w:r>
          </w:p>
          <w:p w14:paraId="3271D908" w14:textId="78591AE9" w:rsidR="005313C7" w:rsidRPr="00B003F0" w:rsidRDefault="005313C7" w:rsidP="005313C7">
            <w:pPr>
              <w:pStyle w:val="keywords"/>
              <w:tabs>
                <w:tab w:val="left" w:pos="1530"/>
              </w:tabs>
              <w:spacing w:after="0"/>
              <w:ind w:left="0" w:firstLine="0"/>
              <w:jc w:val="left"/>
              <w:rPr>
                <w:rFonts w:ascii="Adobe Garamond Pro" w:hAnsi="Adobe Garamond Pro" w:cstheme="minorHAnsi"/>
                <w:b w:val="0"/>
                <w:i w:val="0"/>
                <w:sz w:val="20"/>
                <w:szCs w:val="20"/>
              </w:rPr>
            </w:pPr>
            <w:r w:rsidRPr="00B003F0">
              <w:rPr>
                <w:rFonts w:ascii="Adobe Garamond Pro" w:hAnsi="Adobe Garamond Pro" w:cstheme="minorHAnsi"/>
                <w:b w:val="0"/>
                <w:i w:val="0"/>
                <w:sz w:val="20"/>
                <w:szCs w:val="20"/>
              </w:rPr>
              <w:t>Environmental Audit,</w:t>
            </w:r>
          </w:p>
          <w:p w14:paraId="40A48EC1" w14:textId="372FF000" w:rsidR="005313C7" w:rsidRPr="00B003F0" w:rsidRDefault="005313C7" w:rsidP="005313C7">
            <w:pPr>
              <w:pStyle w:val="keywords"/>
              <w:tabs>
                <w:tab w:val="left" w:pos="1530"/>
              </w:tabs>
              <w:spacing w:after="0"/>
              <w:ind w:left="0" w:firstLine="0"/>
              <w:jc w:val="left"/>
              <w:rPr>
                <w:rFonts w:ascii="Adobe Garamond Pro" w:hAnsi="Adobe Garamond Pro" w:cstheme="minorHAnsi"/>
                <w:b w:val="0"/>
                <w:i w:val="0"/>
                <w:sz w:val="20"/>
                <w:szCs w:val="20"/>
              </w:rPr>
            </w:pPr>
            <w:r w:rsidRPr="00B003F0">
              <w:rPr>
                <w:rFonts w:ascii="Adobe Garamond Pro" w:hAnsi="Adobe Garamond Pro" w:cstheme="minorHAnsi"/>
                <w:b w:val="0"/>
                <w:i w:val="0"/>
                <w:sz w:val="20"/>
                <w:szCs w:val="20"/>
              </w:rPr>
              <w:t>Systematic Literature Review</w:t>
            </w:r>
          </w:p>
          <w:p w14:paraId="59A7E5DF" w14:textId="77777777" w:rsidR="00A67F58" w:rsidRDefault="00A67F58">
            <w:pPr>
              <w:pStyle w:val="keywords"/>
              <w:tabs>
                <w:tab w:val="left" w:pos="1530"/>
              </w:tabs>
              <w:spacing w:after="0"/>
              <w:ind w:left="0" w:firstLine="0"/>
              <w:jc w:val="left"/>
              <w:rPr>
                <w:rFonts w:asciiTheme="minorHAnsi" w:hAnsiTheme="minorHAnsi" w:cstheme="minorHAnsi"/>
                <w:b w:val="0"/>
                <w:i w:val="0"/>
                <w:sz w:val="22"/>
                <w:szCs w:val="22"/>
              </w:rPr>
            </w:pPr>
          </w:p>
          <w:p w14:paraId="192A8776" w14:textId="77777777" w:rsidR="00A67F58" w:rsidRDefault="00A67F58">
            <w:pPr>
              <w:pStyle w:val="Author"/>
              <w:spacing w:before="0" w:after="0"/>
              <w:ind w:left="0"/>
              <w:jc w:val="left"/>
              <w:rPr>
                <w:rFonts w:asciiTheme="minorHAnsi" w:hAnsiTheme="minorHAnsi" w:cstheme="minorHAnsi"/>
                <w:sz w:val="22"/>
                <w:szCs w:val="22"/>
              </w:rPr>
            </w:pPr>
          </w:p>
        </w:tc>
      </w:tr>
      <w:tr w:rsidR="00A67F58" w14:paraId="775E1252" w14:textId="77777777">
        <w:tc>
          <w:tcPr>
            <w:tcW w:w="9198" w:type="dxa"/>
            <w:gridSpan w:val="3"/>
          </w:tcPr>
          <w:p w14:paraId="4F1F1B10" w14:textId="2DED3539" w:rsidR="00A67F58" w:rsidRPr="007749EE" w:rsidRDefault="00A67F58" w:rsidP="007749EE">
            <w:pPr>
              <w:spacing w:after="0" w:line="240" w:lineRule="auto"/>
              <w:jc w:val="both"/>
              <w:rPr>
                <w:rFonts w:cstheme="minorHAnsi"/>
              </w:rPr>
            </w:pPr>
          </w:p>
        </w:tc>
      </w:tr>
    </w:tbl>
    <w:p w14:paraId="43C80808" w14:textId="77777777" w:rsidR="00A67F58" w:rsidRDefault="00A67F58">
      <w:pPr>
        <w:spacing w:line="240" w:lineRule="auto"/>
        <w:rPr>
          <w:rFonts w:cstheme="minorHAnsi"/>
        </w:rPr>
      </w:pPr>
    </w:p>
    <w:p w14:paraId="1E47252C" w14:textId="77777777" w:rsidR="008B5AE7" w:rsidRDefault="008B5AE7" w:rsidP="008B5AE7">
      <w:pPr>
        <w:spacing w:after="0" w:line="240" w:lineRule="auto"/>
        <w:rPr>
          <w:rFonts w:cstheme="minorHAnsi"/>
        </w:rPr>
      </w:pPr>
    </w:p>
    <w:p w14:paraId="2A69B92A" w14:textId="77777777" w:rsidR="008B5AE7" w:rsidRDefault="008B5AE7" w:rsidP="008B5AE7">
      <w:pPr>
        <w:spacing w:after="0" w:line="240" w:lineRule="auto"/>
        <w:rPr>
          <w:rFonts w:cstheme="minorHAnsi"/>
        </w:rPr>
      </w:pPr>
    </w:p>
    <w:p w14:paraId="6EF1C800" w14:textId="77777777" w:rsidR="008B5AE7" w:rsidRPr="008B5AE7" w:rsidRDefault="008B5AE7" w:rsidP="008B5AE7">
      <w:pPr>
        <w:rPr>
          <w:rFonts w:cstheme="minorHAnsi"/>
        </w:rPr>
        <w:sectPr w:rsidR="008B5AE7" w:rsidRPr="008B5AE7" w:rsidSect="00CE4948">
          <w:headerReference w:type="even" r:id="rId9"/>
          <w:headerReference w:type="default" r:id="rId10"/>
          <w:footerReference w:type="default" r:id="rId11"/>
          <w:pgSz w:w="11907" w:h="16840"/>
          <w:pgMar w:top="1701" w:right="1197" w:bottom="1418" w:left="1418" w:header="1077" w:footer="1134" w:gutter="0"/>
          <w:pgNumType w:start="56"/>
          <w:cols w:space="720"/>
          <w:docGrid w:linePitch="360"/>
        </w:sectPr>
      </w:pPr>
    </w:p>
    <w:p w14:paraId="4C929DB6" w14:textId="04CEAF00" w:rsidR="00A67F58" w:rsidRPr="00DC3EFC" w:rsidRDefault="002B50D8">
      <w:pPr>
        <w:pStyle w:val="ListParagraph"/>
        <w:numPr>
          <w:ilvl w:val="0"/>
          <w:numId w:val="2"/>
        </w:numPr>
        <w:tabs>
          <w:tab w:val="left" w:pos="360"/>
        </w:tabs>
        <w:suppressAutoHyphens/>
        <w:spacing w:after="0" w:line="360" w:lineRule="auto"/>
        <w:ind w:hanging="720"/>
        <w:contextualSpacing w:val="0"/>
        <w:rPr>
          <w:rFonts w:ascii="Arial" w:hAnsi="Arial" w:cs="Arial"/>
          <w:b/>
          <w:color w:val="2E74B5" w:themeColor="accent1" w:themeShade="BF"/>
        </w:rPr>
      </w:pPr>
      <w:r>
        <w:rPr>
          <w:rFonts w:ascii="Arial" w:hAnsi="Arial" w:cs="Arial"/>
          <w:b/>
          <w:color w:val="2E74B5" w:themeColor="accent1" w:themeShade="BF"/>
        </w:rPr>
        <w:lastRenderedPageBreak/>
        <w:t>PENDAHULUAN</w:t>
      </w:r>
    </w:p>
    <w:p w14:paraId="6EE3DC7E" w14:textId="1FD8444F" w:rsidR="00260092" w:rsidRPr="002B50D8" w:rsidRDefault="002B50D8" w:rsidP="00691E7B">
      <w:pPr>
        <w:pStyle w:val="BodyText"/>
        <w:spacing w:before="1" w:line="360" w:lineRule="auto"/>
        <w:ind w:left="0" w:right="49"/>
        <w:rPr>
          <w:rFonts w:ascii="Adobe Garamond Pro" w:hAnsi="Adobe Garamond Pro" w:cs="ADLaM Display"/>
          <w:sz w:val="22"/>
          <w:szCs w:val="22"/>
        </w:rPr>
      </w:pPr>
      <w:r w:rsidRPr="002B50D8">
        <w:rPr>
          <w:rFonts w:ascii="Adobe Garamond Pro" w:hAnsi="Adobe Garamond Pro" w:cs="ADLaM Display"/>
          <w:sz w:val="22"/>
          <w:szCs w:val="22"/>
        </w:rPr>
        <w:t xml:space="preserve">Indonesia merupakan salah satu negara dengan luas perkebunan kelapa sawit terbesar di dunia. Pada tahun 2022-2025 luas perkebunan kelapa sawit di Indonesia mencapai 16,8 juta Hektare dengan total produksi minyak sawit sebanyak 50 juta ton setiap tahun. Industri kelapa sawit juga merupakan salah satu penyumbang ekspor nonmigas terbesar Indonesia. Berdasarkan </w:t>
      </w:r>
      <w:r w:rsidRPr="002B50D8">
        <w:rPr>
          <w:rFonts w:ascii="Adobe Garamond Pro" w:hAnsi="Adobe Garamond Pro" w:cs="ADLaM Display"/>
          <w:sz w:val="22"/>
          <w:szCs w:val="22"/>
          <w:lang w:val="en-US"/>
        </w:rPr>
        <w:t>data Kementerian Perdagangan, sampai dengan September 2024 kinerja ekspor nonmigas sebesar USD181,14 Milyar, dan untuk ekspor lemak dan minyak nabati mencapai USD14,43 Milyar, yang di dalamnya termasuk minyak kelapa sawit.</w:t>
      </w:r>
      <w:r w:rsidRPr="002B50D8">
        <w:rPr>
          <w:rFonts w:ascii="Adobe Garamond Pro" w:hAnsi="Adobe Garamond Pro" w:cs="ADLaM Display"/>
          <w:sz w:val="22"/>
          <w:szCs w:val="22"/>
        </w:rPr>
        <w:t xml:space="preserve"> Selain itu, </w:t>
      </w:r>
      <w:r w:rsidRPr="002B50D8">
        <w:rPr>
          <w:rFonts w:ascii="Adobe Garamond Pro" w:hAnsi="Adobe Garamond Pro" w:cs="ADLaM Display"/>
          <w:sz w:val="22"/>
          <w:szCs w:val="22"/>
          <w:lang w:val="en-US"/>
        </w:rPr>
        <w:t xml:space="preserve">Badan Pusat Statistik juga menunjukkan pertumbuhan ekonomi Indonesia pada Triwulan III-2024 tercatat 4,95%, sementara produk domestik bruto pada sektor pertanian dan perkebunan tumbuh positif di 1,69%, dimana komoditas kelapa sawit menjadi salah satu motor penggerak pada kedua sektor tersebut. </w:t>
      </w:r>
      <w:r w:rsidRPr="002B50D8">
        <w:rPr>
          <w:rFonts w:ascii="Adobe Garamond Pro" w:hAnsi="Adobe Garamond Pro" w:cs="ADLaM Display"/>
          <w:sz w:val="22"/>
          <w:szCs w:val="22"/>
        </w:rPr>
        <w:t xml:space="preserve">Hal ini menjadikan industri kelapa sawit sangat berperan strategis bagi perekonomian Indonesia melalui pemenuhan kebutuhan minyak sawit dunia. Tetapi terdapat permasalahan besar terkait lingkungan karena deforestasi dan degradasi hutan yang dikaitkan dengan ekspansi perkebunan sawit. </w:t>
      </w:r>
    </w:p>
    <w:p w14:paraId="61C54867" w14:textId="77777777" w:rsidR="002B50D8" w:rsidRDefault="002B50D8" w:rsidP="00AD4153">
      <w:pPr>
        <w:pStyle w:val="BodyText"/>
        <w:spacing w:before="1" w:line="360" w:lineRule="auto"/>
        <w:ind w:left="0" w:right="49" w:firstLine="567"/>
        <w:rPr>
          <w:rFonts w:ascii="Adobe Garamond Pro" w:hAnsi="Adobe Garamond Pro" w:cs="ADLaM Display"/>
          <w:sz w:val="22"/>
          <w:szCs w:val="22"/>
        </w:rPr>
      </w:pPr>
      <w:r w:rsidRPr="002B50D8">
        <w:rPr>
          <w:rFonts w:ascii="Adobe Garamond Pro" w:hAnsi="Adobe Garamond Pro" w:cs="ADLaM Display"/>
          <w:sz w:val="22"/>
          <w:szCs w:val="22"/>
        </w:rPr>
        <w:t xml:space="preserve">Kementerian Lingkungan hidup dan Kehutanan (KLHK) mencatat bahwa pada tahun 2024 telah terjadi deforestasi bersih sekitar 175.400 hektare di seluruh Indonesia, dengan persentase 92,8% di hutan sekunder dan sebagian kecilnya terjadi di hutan primer. </w:t>
      </w:r>
      <w:r w:rsidRPr="002B50D8">
        <w:rPr>
          <w:rFonts w:ascii="Adobe Garamond Pro" w:hAnsi="Adobe Garamond Pro" w:cs="ADLaM Display"/>
          <w:sz w:val="22"/>
          <w:szCs w:val="22"/>
          <w:lang w:val="en-US"/>
        </w:rPr>
        <w:t xml:space="preserve">Analisis lembaga non-pemerintah seperti </w:t>
      </w:r>
      <w:r w:rsidRPr="002B50D8">
        <w:rPr>
          <w:rFonts w:ascii="Adobe Garamond Pro" w:hAnsi="Adobe Garamond Pro" w:cs="ADLaM Display"/>
          <w:i/>
          <w:iCs/>
          <w:sz w:val="22"/>
          <w:szCs w:val="22"/>
          <w:lang w:val="en-US"/>
        </w:rPr>
        <w:t xml:space="preserve">Nusantara Atlas </w:t>
      </w:r>
      <w:r w:rsidRPr="002B50D8">
        <w:rPr>
          <w:rFonts w:ascii="Adobe Garamond Pro" w:hAnsi="Adobe Garamond Pro" w:cs="ADLaM Display"/>
          <w:sz w:val="22"/>
          <w:szCs w:val="22"/>
          <w:lang w:val="en-US"/>
        </w:rPr>
        <w:t xml:space="preserve">juga menunjukkan bahwa sekitar 31.700 hektare deforestasi nasional berkaitan langsung dengan ekspansi perkebunan sawit, terutama di Kalimantan dan Sumatra. Angka ini menunjukkan bahwa meskipun terdapat tren penurunan dibanding dekade sebelumnya, ancaman deforestasi akibat ekspansi sawit belum sepenuhnya berakhir karena </w:t>
      </w:r>
      <w:r w:rsidRPr="002B50D8">
        <w:rPr>
          <w:rFonts w:ascii="Adobe Garamond Pro" w:hAnsi="Adobe Garamond Pro" w:cs="ADLaM Display"/>
          <w:sz w:val="22"/>
          <w:szCs w:val="22"/>
        </w:rPr>
        <w:t xml:space="preserve">perluasan perkebunan kelapa sawit telah menjadi pemicu utama deforestasi di Indonesia selama beberapa tahun terakhir. Hal ini juga menandakan bahwa kebijakan dan komitmen untuk menghilangkan deforestasi masih sebatas formalitas tanpa pengimplementasian yang nyata. </w:t>
      </w:r>
    </w:p>
    <w:p w14:paraId="7D09A31E" w14:textId="77777777" w:rsidR="00820913" w:rsidRDefault="002B50D8" w:rsidP="00AD4153">
      <w:pPr>
        <w:pStyle w:val="BodyText"/>
        <w:spacing w:before="1" w:line="360" w:lineRule="auto"/>
        <w:ind w:left="0" w:right="49" w:firstLine="567"/>
        <w:rPr>
          <w:rFonts w:ascii="Adobe Garamond Pro" w:hAnsi="Adobe Garamond Pro" w:cs="ADLaM Display"/>
          <w:sz w:val="22"/>
          <w:szCs w:val="22"/>
          <w:lang w:val="en-US"/>
        </w:rPr>
      </w:pPr>
      <w:r w:rsidRPr="002B50D8">
        <w:rPr>
          <w:rFonts w:ascii="Adobe Garamond Pro" w:hAnsi="Adobe Garamond Pro" w:cs="ADLaM Display"/>
          <w:sz w:val="22"/>
          <w:szCs w:val="22"/>
        </w:rPr>
        <w:t>Beberapa perusahaan besar dalam industri kelapa sawit telah berkomitmen untuk mengurangi deforestasi dengan mengadopsi z</w:t>
      </w:r>
      <w:r w:rsidRPr="002B50D8">
        <w:rPr>
          <w:rFonts w:ascii="Adobe Garamond Pro" w:hAnsi="Adobe Garamond Pro" w:cs="ADLaM Display"/>
          <w:i/>
          <w:iCs/>
          <w:sz w:val="22"/>
          <w:szCs w:val="22"/>
        </w:rPr>
        <w:t>ero deforestation, no peat, no exploitation</w:t>
      </w:r>
      <w:r w:rsidRPr="002B50D8">
        <w:rPr>
          <w:rFonts w:ascii="Adobe Garamond Pro" w:hAnsi="Adobe Garamond Pro" w:cs="ADLaM Display"/>
          <w:sz w:val="22"/>
          <w:szCs w:val="22"/>
        </w:rPr>
        <w:t xml:space="preserve"> (NDPE), serta memperoleh sertifikasi keberlanjutan seperti RSPO atau ISPO. Beberapa perusahaan juga secara konsisten dan rutin menerbitkan laporan keberlanjutan (</w:t>
      </w:r>
      <w:r w:rsidRPr="002B50D8">
        <w:rPr>
          <w:rFonts w:ascii="Adobe Garamond Pro" w:hAnsi="Adobe Garamond Pro" w:cs="ADLaM Display"/>
          <w:i/>
          <w:iCs/>
          <w:sz w:val="22"/>
          <w:szCs w:val="22"/>
        </w:rPr>
        <w:t>sustainability report</w:t>
      </w:r>
      <w:r w:rsidRPr="002B50D8">
        <w:rPr>
          <w:rFonts w:ascii="Adobe Garamond Pro" w:hAnsi="Adobe Garamond Pro" w:cs="ADLaM Display"/>
          <w:sz w:val="22"/>
          <w:szCs w:val="22"/>
        </w:rPr>
        <w:t xml:space="preserve">) yang memuat klaim keberhasilan mereka dalam bidang lingkungan dan sosial. Tetapi hal ini tidak selaras dengan kondisi ekologis nyata yang membuktikan bahwa deforestasi masih terus terjadi </w:t>
      </w:r>
      <w:r w:rsidRPr="002B50D8">
        <w:rPr>
          <w:rFonts w:ascii="Adobe Garamond Pro" w:hAnsi="Adobe Garamond Pro" w:cs="ADLaM Display"/>
          <w:sz w:val="22"/>
          <w:szCs w:val="22"/>
        </w:rPr>
        <w:fldChar w:fldCharType="begin" w:fldLock="1"/>
      </w:r>
      <w:r w:rsidRPr="002B50D8">
        <w:rPr>
          <w:rFonts w:ascii="Adobe Garamond Pro" w:hAnsi="Adobe Garamond Pro" w:cs="ADLaM Display"/>
          <w:sz w:val="22"/>
          <w:szCs w:val="22"/>
        </w:rPr>
        <w:instrText>ADDIN CSL_CITATION {"citationItems":[{"id":"ITEM-1","itemData":{"DOI":"10.1073/pnas.1704728114","author":[{"dropping-particle":"","family":"Carlson","given":"Kimberly M","non-dropping-particle":"","parse-names":false,"suffix":""},{"dropping-particle":"","family":"Heilmayr","given":"Robert","non-dropping-particle":"","parse-names":false,"suffix":""},{"dropping-particle":"","family":"Gibbs","given":"Holly K","non-dropping-particle":"","parse-names":false,"suffix":""},{"dropping-particle":"","family":"Noojipady","given":"Praveen","non-dropping-particle":"","parse-names":false,"suffix":""},{"dropping-particle":"","family":"Douglas","given":"David N Burns G","non-dropping-particle":"","parse-names":false,"suffix":""},{"dropping-particle":"","family":"Morton","given":"C H","non-dropping-particle":"","parse-names":false,"suffix":""},{"dropping-particle":"","family":"G","given":"Nathalie F Walker","non-dropping-particle":"","parse-names":false,"suffix":""},{"dropping-particle":"","family":"J","given":"Gary D Paoli","non-dropping-particle":"","parse-names":false,"suffix":""},{"dropping-particle":"","family":"Sumber","given":"A Departemen","non-dropping-particle":"","parse-names":false,"suffix":""},{"dropping-particle":"","family":"Alam","given":"Daya","non-dropping-particle":"","parse-names":false,"suffix":""},{"dropping-particle":"","family":"Hawaii","given":"Universitas","non-dropping-particle":"","parse-names":false,"suffix":""},{"dropping-particle":"","family":"Hidup","given":"B Institut Lingkungan","non-dropping-particle":"","parse-names":false,"suffix":""},{"dropping-particle":"","family":"Minnesota","given":"Universitas","non-dropping-particle":"","parse-names":false,"suffix":""},{"dropping-particle":"","family":"Lingkungan","given":"C Program Studi","non-dropping-particle":"","parse-names":false,"suffix":""},{"dropping-particle":"","family":"California","given":"Universitas","non-dropping-particle":"","parse-names":false,"suffix":""},{"dropping-particle":"","family":"Barbara","given":"Santa","non-dropping-particle":"","parse-names":false,"suffix":""},{"dropping-particle":"","family":"Geografi","given":"D Departemen","non-dropping-particle":"","parse-names":false,"suffix":""},{"dropping-particle":"","family":"Wisconsin","given":"Universitas","non-dropping-particle":"","parse-names":false,"suffix":""},{"dropping-particle":"","family":"Nelson","given":"Institut","non-dropping-particle":"","parse-names":false,"suffix":""},{"dropping-particle":"","family":"Wisconsin","given":"Universitas","non-dropping-particle":"","parse-names":false,"suffix":""},{"dropping-particle":"","family":"Geografi","given":"F Departemen","non-dropping-particle":"","parse-names":false,"suffix":""},{"dropping-particle":"","family":"Wisconsin","given":"Universitas","non-dropping-particle":"","parse-names":false,"suffix":""},{"dropping-particle":"","family":"Federasi","given":"G","non-dropping-particle":"","parse-names":false,"suffix":""},{"dropping-particle":"","family":"Nasional","given":"Satwa Liar","non-dropping-particle":"","parse-names":false,"suffix":""},{"dropping-particle":"","family":"Nasional","given":"Pusat Advokasi","non-dropping-particle":"","parse-names":false,"suffix":""},{"dropping-particle":"","family":"Biosfer","given":"H Laboratorium Ilmu","non-dropping-particle":"","parse-names":false,"suffix":""},{"dropping-particle":"","family":"Penerbangan","given":"Pusat","non-dropping-particle":"","parse-names":false,"suffix":""},{"dropping-particle":"","family":"Angkasa","given":"Luar","non-dropping-particle":"","parse-names":false,"suffix":""},{"dropping-particle":"","family":"Nasa","given":"Goddard","non-dropping-particle":"","parse-names":false,"suffix":""}],"id":"ITEM-1","issue":"1","issued":{"date-parts":[["2018"]]},"title":"Dampak sertifikasi keberlanjutan kelapa sawit terhadap deforestasi dan kebakaran di Indonesia","type":"article-journal"},"uris":["http://www.mendeley.com/documents/?uuid=6e6576a8-73a6-4343-a682-5ed5f693b248"]}],"mendeley":{"formattedCitation":"(Carlson et al., 2018)","plainTextFormattedCitation":"(Carlson et al., 2018)","previouslyFormattedCitation":"(Carlson et al., 2018)"},"properties":{"noteIndex":0},"schema":"https://github.com/citation-style-language/schema/raw/master/csl-citation.json"}</w:instrText>
      </w:r>
      <w:r w:rsidRPr="002B50D8">
        <w:rPr>
          <w:rFonts w:ascii="Adobe Garamond Pro" w:hAnsi="Adobe Garamond Pro" w:cs="ADLaM Display"/>
          <w:sz w:val="22"/>
          <w:szCs w:val="22"/>
        </w:rPr>
        <w:fldChar w:fldCharType="separate"/>
      </w:r>
      <w:r w:rsidRPr="002B50D8">
        <w:rPr>
          <w:rFonts w:ascii="Adobe Garamond Pro" w:hAnsi="Adobe Garamond Pro" w:cs="ADLaM Display"/>
          <w:noProof/>
          <w:sz w:val="22"/>
          <w:szCs w:val="22"/>
        </w:rPr>
        <w:t>(Carlson et al., 2018)</w:t>
      </w:r>
      <w:r w:rsidRPr="002B50D8">
        <w:rPr>
          <w:rFonts w:ascii="Adobe Garamond Pro" w:hAnsi="Adobe Garamond Pro" w:cs="ADLaM Display"/>
          <w:sz w:val="22"/>
          <w:szCs w:val="22"/>
        </w:rPr>
        <w:fldChar w:fldCharType="end"/>
      </w:r>
      <w:r w:rsidRPr="002B50D8">
        <w:rPr>
          <w:rFonts w:ascii="Adobe Garamond Pro" w:hAnsi="Adobe Garamond Pro" w:cs="ADLaM Display"/>
          <w:sz w:val="22"/>
          <w:szCs w:val="22"/>
        </w:rPr>
        <w:t xml:space="preserve">. </w:t>
      </w:r>
      <w:r w:rsidRPr="002B50D8">
        <w:rPr>
          <w:rFonts w:ascii="Adobe Garamond Pro" w:hAnsi="Adobe Garamond Pro" w:cs="ADLaM Display"/>
          <w:sz w:val="22"/>
          <w:szCs w:val="22"/>
          <w:lang w:val="en-US"/>
        </w:rPr>
        <w:t xml:space="preserve">Hal ini menunjukkan adanya kesenjangan serius antara pelaporan dan realitas lingkungan karena perusahaan masih mengutamakan tingkat return yang tinggi, sehingga kondisi lingkungan terabaikan </w:t>
      </w:r>
      <w:r w:rsidRPr="002B50D8">
        <w:rPr>
          <w:rFonts w:ascii="Adobe Garamond Pro" w:hAnsi="Adobe Garamond Pro" w:cs="ADLaM Display"/>
          <w:sz w:val="22"/>
          <w:szCs w:val="22"/>
          <w:lang w:val="en-US"/>
        </w:rPr>
        <w:fldChar w:fldCharType="begin" w:fldLock="1"/>
      </w:r>
      <w:r w:rsidRPr="002B50D8">
        <w:rPr>
          <w:rFonts w:ascii="Adobe Garamond Pro" w:hAnsi="Adobe Garamond Pro" w:cs="ADLaM Display"/>
          <w:sz w:val="22"/>
          <w:szCs w:val="22"/>
          <w:lang w:val="en-US"/>
        </w:rPr>
        <w:instrText>ADDIN CSL_CITATION {"citationItems":[{"id":"ITEM-1","itemData":{"ISSN":"2654-8216","author":[{"dropping-particle":"","family":"Pardede","given":"Mazmur","non-dropping-particle":"","parse-names":false,"suffix":""}],"container-title":"Jurakunman (Jurnal Akuntansi dan Manajemen)","id":"ITEM-1","issue":"2","issued":{"date-parts":[["2024"]]},"page":"166-176","title":"FINANCIAL PERFORMANCE ANALYSIS USING DU PONT AT PT. ADARO ENERGI INDONESIA Tbk PERIOD 2019-2023","type":"article-journal","volume":"17"},"uris":["http://www.mendeley.com/documents/?uuid=553e7990-bb94-4072-a9b4-fe630c17aa9e"]}],"mendeley":{"formattedCitation":"(Pardede, 2024)","plainTextFormattedCitation":"(Pardede, 2024)","previouslyFormattedCitation":"(Pardede, 2024)"},"properties":{"noteIndex":0},"schema":"https://github.com/citation-style-language/schema/raw/master/csl-citation.json"}</w:instrText>
      </w:r>
      <w:r w:rsidRPr="002B50D8">
        <w:rPr>
          <w:rFonts w:ascii="Adobe Garamond Pro" w:hAnsi="Adobe Garamond Pro" w:cs="ADLaM Display"/>
          <w:sz w:val="22"/>
          <w:szCs w:val="22"/>
          <w:lang w:val="en-US"/>
        </w:rPr>
        <w:fldChar w:fldCharType="separate"/>
      </w:r>
      <w:r w:rsidRPr="002B50D8">
        <w:rPr>
          <w:rFonts w:ascii="Adobe Garamond Pro" w:hAnsi="Adobe Garamond Pro" w:cs="ADLaM Display"/>
          <w:noProof/>
          <w:sz w:val="22"/>
          <w:szCs w:val="22"/>
          <w:lang w:val="en-US"/>
        </w:rPr>
        <w:t>(Pardede, 2024)</w:t>
      </w:r>
      <w:r w:rsidRPr="002B50D8">
        <w:rPr>
          <w:rFonts w:ascii="Adobe Garamond Pro" w:hAnsi="Adobe Garamond Pro" w:cs="ADLaM Display"/>
          <w:sz w:val="22"/>
          <w:szCs w:val="22"/>
          <w:lang w:val="en-US"/>
        </w:rPr>
        <w:fldChar w:fldCharType="end"/>
      </w:r>
      <w:r w:rsidRPr="002B50D8">
        <w:rPr>
          <w:rFonts w:ascii="Adobe Garamond Pro" w:hAnsi="Adobe Garamond Pro" w:cs="ADLaM Display"/>
          <w:sz w:val="22"/>
          <w:szCs w:val="22"/>
          <w:lang w:val="en-US"/>
        </w:rPr>
        <w:t xml:space="preserve">. </w:t>
      </w:r>
      <w:r w:rsidR="00820913">
        <w:rPr>
          <w:rFonts w:ascii="Adobe Garamond Pro" w:hAnsi="Adobe Garamond Pro" w:cs="ADLaM Display"/>
          <w:sz w:val="22"/>
          <w:szCs w:val="22"/>
          <w:lang w:val="en-US"/>
        </w:rPr>
        <w:t xml:space="preserve"> </w:t>
      </w:r>
    </w:p>
    <w:p w14:paraId="70219EEB" w14:textId="1B0B7C8A" w:rsidR="002B50D8" w:rsidRPr="00820913" w:rsidRDefault="002B50D8" w:rsidP="00AD4153">
      <w:pPr>
        <w:pStyle w:val="BodyText"/>
        <w:spacing w:before="1" w:line="360" w:lineRule="auto"/>
        <w:ind w:left="0" w:right="49" w:firstLine="567"/>
        <w:rPr>
          <w:rFonts w:ascii="Adobe Garamond Pro" w:hAnsi="Adobe Garamond Pro" w:cs="ADLaM Display"/>
          <w:sz w:val="22"/>
          <w:szCs w:val="22"/>
          <w:lang w:val="en-US"/>
        </w:rPr>
      </w:pPr>
      <w:r w:rsidRPr="002B50D8">
        <w:rPr>
          <w:rFonts w:ascii="Adobe Garamond Pro" w:hAnsi="Adobe Garamond Pro" w:cs="ADLaM Display"/>
          <w:sz w:val="22"/>
          <w:szCs w:val="22"/>
          <w:lang w:val="en-US"/>
        </w:rPr>
        <w:t>Sistem pelaporan dan audit keberlanjutan sangat diperlukan guna membandingkan informasi yang diklaim perusahaan dengan kondisi lingkungan secara nyata dan bukan sekedar formalitas administratif</w:t>
      </w:r>
      <w:r w:rsidR="00F74CE5">
        <w:rPr>
          <w:rFonts w:ascii="Adobe Garamond Pro" w:hAnsi="Adobe Garamond Pro" w:cs="ADLaM Display"/>
          <w:sz w:val="22"/>
          <w:szCs w:val="22"/>
          <w:lang w:val="en-US"/>
        </w:rPr>
        <w:t xml:space="preserve"> karena </w:t>
      </w:r>
      <w:r w:rsidR="00F74CE5">
        <w:rPr>
          <w:rFonts w:ascii="Adobe Garamond Pro" w:hAnsi="Adobe Garamond Pro" w:cs="ADLaM Display"/>
          <w:sz w:val="22"/>
          <w:szCs w:val="22"/>
        </w:rPr>
        <w:t>s</w:t>
      </w:r>
      <w:r w:rsidRPr="002B50D8">
        <w:rPr>
          <w:rFonts w:ascii="Adobe Garamond Pro" w:hAnsi="Adobe Garamond Pro" w:cs="ADLaM Display"/>
          <w:sz w:val="22"/>
          <w:szCs w:val="22"/>
        </w:rPr>
        <w:t xml:space="preserve">istem pelaporan dan audit keberlanjutan hanya berfokus pada dokumentasi dan kepatuhan administratif. </w:t>
      </w:r>
      <w:r w:rsidRPr="002B50D8">
        <w:rPr>
          <w:rFonts w:ascii="Adobe Garamond Pro" w:hAnsi="Adobe Garamond Pro" w:cs="ADLaM Display"/>
          <w:sz w:val="22"/>
          <w:szCs w:val="22"/>
        </w:rPr>
        <w:fldChar w:fldCharType="begin" w:fldLock="1"/>
      </w:r>
      <w:r w:rsidRPr="002B50D8">
        <w:rPr>
          <w:rFonts w:ascii="Adobe Garamond Pro" w:hAnsi="Adobe Garamond Pro" w:cs="ADLaM Display"/>
          <w:sz w:val="22"/>
          <w:szCs w:val="22"/>
        </w:rPr>
        <w:instrText>ADDIN CSL_CITATION {"citationItems":[{"id":"ITEM-1","itemData":{"author":[{"dropping-particle":"","family":"Simnett","given":"Roger","non-dropping-particle":"","parse-names":false,"suffix":""},{"dropping-particle":"","family":"Vanstraelen","given":"Ann","non-dropping-particle":"","parse-names":false,"suffix":""},{"dropping-particle":"","family":"Chua","given":"Wai Fong","non-dropping-particle":"","parse-names":false,"suffix":""}],"id":"ITEM-1","issue":"3","issued":{"date-parts":[["2009"]]},"page":"937-967","title":"Assurance on Sustainability Reports : An International Comparison","type":"article-journal","volume":"84"},"uris":["http://www.mendeley.com/documents/?uuid=74c547e1-e6d5-4508-ad39-b58650df0727"]}],"mendeley":{"formattedCitation":"(Simnett et al., 2009)","manualFormatting":"Simnett et al. (2009) &amp; Perego (2010)","plainTextFormattedCitation":"(Simnett et al., 2009)","previouslyFormattedCitation":"(Simnett et al., 2009)"},"properties":{"noteIndex":0},"schema":"https://github.com/citation-style-language/schema/raw/master/csl-citation.json"}</w:instrText>
      </w:r>
      <w:r w:rsidRPr="002B50D8">
        <w:rPr>
          <w:rFonts w:ascii="Adobe Garamond Pro" w:hAnsi="Adobe Garamond Pro" w:cs="ADLaM Display"/>
          <w:sz w:val="22"/>
          <w:szCs w:val="22"/>
        </w:rPr>
        <w:fldChar w:fldCharType="separate"/>
      </w:r>
      <w:r w:rsidRPr="002B50D8">
        <w:rPr>
          <w:rFonts w:ascii="Adobe Garamond Pro" w:hAnsi="Adobe Garamond Pro" w:cs="ADLaM Display"/>
          <w:noProof/>
          <w:sz w:val="22"/>
          <w:szCs w:val="22"/>
        </w:rPr>
        <w:t xml:space="preserve">Simnett et al. (2009) &amp; </w:t>
      </w:r>
      <w:r w:rsidRPr="002B50D8">
        <w:rPr>
          <w:rFonts w:ascii="Adobe Garamond Pro" w:hAnsi="Adobe Garamond Pro" w:cs="ADLaM Display"/>
          <w:noProof/>
          <w:sz w:val="22"/>
          <w:szCs w:val="22"/>
        </w:rPr>
        <w:fldChar w:fldCharType="begin" w:fldLock="1"/>
      </w:r>
      <w:r w:rsidRPr="002B50D8">
        <w:rPr>
          <w:rFonts w:ascii="Adobe Garamond Pro" w:hAnsi="Adobe Garamond Pro" w:cs="ADLaM Display"/>
          <w:noProof/>
          <w:sz w:val="22"/>
          <w:szCs w:val="22"/>
        </w:rPr>
        <w:instrText>ADDIN CSL_CITATION {"citationItems":[{"id":"ITEM-1","itemData":{"author":[{"dropping-particle":"","family":"Perego","given":"Paolo","non-dropping-particle":"","parse-names":false,"suffix":""}],"id":"ITEM-1","issue":"December 2008","issued":{"date-parts":[["2010"]]},"page":"182-198","title":"Determinants of the Adoption of Sustainability Assurance Statements: An International Investigation","type":"article-journal","volume":"198"},"uris":["http://www.mendeley.com/documents/?uuid=a9efecef-fd04-49a2-a931-0b50a30dbecc"]}],"mendeley":{"formattedCitation":"(Perego, 2010)","manualFormatting":"Perego (2010)","plainTextFormattedCitation":"(Perego, 2010)","previouslyFormattedCitation":"(Perego, 2010)"},"properties":{"noteIndex":0},"schema":"https://github.com/citation-style-language/schema/raw/master/csl-citation.json"}</w:instrText>
      </w:r>
      <w:r w:rsidRPr="002B50D8">
        <w:rPr>
          <w:rFonts w:ascii="Adobe Garamond Pro" w:hAnsi="Adobe Garamond Pro" w:cs="ADLaM Display"/>
          <w:noProof/>
          <w:sz w:val="22"/>
          <w:szCs w:val="22"/>
        </w:rPr>
        <w:fldChar w:fldCharType="separate"/>
      </w:r>
      <w:r w:rsidRPr="002B50D8">
        <w:rPr>
          <w:rFonts w:ascii="Adobe Garamond Pro" w:hAnsi="Adobe Garamond Pro" w:cs="ADLaM Display"/>
          <w:noProof/>
          <w:sz w:val="22"/>
          <w:szCs w:val="22"/>
        </w:rPr>
        <w:t>Perego (2010)</w:t>
      </w:r>
      <w:r w:rsidRPr="002B50D8">
        <w:rPr>
          <w:rFonts w:ascii="Adobe Garamond Pro" w:hAnsi="Adobe Garamond Pro" w:cs="ADLaM Display"/>
          <w:noProof/>
          <w:sz w:val="22"/>
          <w:szCs w:val="22"/>
        </w:rPr>
        <w:fldChar w:fldCharType="end"/>
      </w:r>
      <w:r w:rsidRPr="002B50D8">
        <w:rPr>
          <w:rFonts w:ascii="Adobe Garamond Pro" w:hAnsi="Adobe Garamond Pro" w:cs="ADLaM Display"/>
          <w:sz w:val="22"/>
          <w:szCs w:val="22"/>
        </w:rPr>
        <w:fldChar w:fldCharType="end"/>
      </w:r>
      <w:r w:rsidRPr="002B50D8">
        <w:rPr>
          <w:rFonts w:ascii="Adobe Garamond Pro" w:hAnsi="Adobe Garamond Pro" w:cs="ADLaM Display"/>
          <w:sz w:val="22"/>
          <w:szCs w:val="22"/>
        </w:rPr>
        <w:t xml:space="preserve"> mengungkapkan bahwa </w:t>
      </w:r>
      <w:r w:rsidRPr="002B50D8">
        <w:rPr>
          <w:rFonts w:ascii="Adobe Garamond Pro" w:hAnsi="Adobe Garamond Pro" w:cs="ADLaM Display"/>
          <w:i/>
          <w:iCs/>
          <w:sz w:val="22"/>
          <w:szCs w:val="22"/>
        </w:rPr>
        <w:t xml:space="preserve">assurance </w:t>
      </w:r>
      <w:r w:rsidRPr="002B50D8">
        <w:rPr>
          <w:rFonts w:ascii="Adobe Garamond Pro" w:hAnsi="Adobe Garamond Pro" w:cs="ADLaM Display"/>
          <w:sz w:val="22"/>
          <w:szCs w:val="22"/>
        </w:rPr>
        <w:t xml:space="preserve">terhadap laporan keberlanjutan dapat meningkatkan kualitas informasi bagi publik, tetapi praktik assurance sering kali tidak menguji bukti nyata kondisi lingkungan. Padahal kebijakan global seperti EU Deforestation Regulation </w:t>
      </w:r>
      <w:r w:rsidRPr="002B50D8">
        <w:rPr>
          <w:rFonts w:ascii="Adobe Garamond Pro" w:hAnsi="Adobe Garamond Pro" w:cs="ADLaM Display"/>
          <w:sz w:val="22"/>
          <w:szCs w:val="22"/>
        </w:rPr>
        <w:lastRenderedPageBreak/>
        <w:t xml:space="preserve">(EUDR 2023) menuntut transparansi berbasis bukti geospasial, yang menempatkan perusahaan dan auditor pada tekanan baru guna membuktikan keberlanjutan yang diklaim perusahaan. Hal ini memperluas </w:t>
      </w:r>
      <w:r w:rsidRPr="002B50D8">
        <w:rPr>
          <w:rFonts w:ascii="Adobe Garamond Pro" w:hAnsi="Adobe Garamond Pro" w:cs="ADLaM Display"/>
          <w:i/>
          <w:iCs/>
          <w:sz w:val="22"/>
          <w:szCs w:val="22"/>
        </w:rPr>
        <w:t>eco-accountability gap</w:t>
      </w:r>
      <w:r w:rsidRPr="002B50D8">
        <w:rPr>
          <w:rFonts w:ascii="Adobe Garamond Pro" w:hAnsi="Adobe Garamond Pro" w:cs="ADLaM Display"/>
          <w:sz w:val="22"/>
          <w:szCs w:val="22"/>
        </w:rPr>
        <w:t>, dimana sistem pelaporan dan audit keberlanjutan hanya sebatas formalitas dan dokumentasi tanpa membuktikan kondisi lingkungan yang sesungguhnya. Situasi ini menimbulkan pertanyaan kritis tentang sejauh mana praktik pelaporan keberlanjutan dan audit lingkungan pada industri kelapa sawit benar-benar merepresentasikan realitas ekologis dan apakah sistem pelaporan saat ini mampu menjamin kredibilitas klaim “</w:t>
      </w:r>
      <w:r w:rsidRPr="002B50D8">
        <w:rPr>
          <w:rFonts w:ascii="Adobe Garamond Pro" w:hAnsi="Adobe Garamond Pro" w:cs="ADLaM Display"/>
          <w:i/>
          <w:iCs/>
          <w:sz w:val="22"/>
          <w:szCs w:val="22"/>
        </w:rPr>
        <w:t>no deforestation</w:t>
      </w:r>
      <w:r w:rsidRPr="002B50D8">
        <w:rPr>
          <w:rFonts w:ascii="Adobe Garamond Pro" w:hAnsi="Adobe Garamond Pro" w:cs="ADLaM Display"/>
          <w:sz w:val="22"/>
          <w:szCs w:val="22"/>
        </w:rPr>
        <w:t>” atau hanya menjadi formalitas simbolik untuk memperoleh legitimasi publik</w:t>
      </w:r>
      <w:r w:rsidRPr="002B50D8">
        <w:rPr>
          <w:rFonts w:ascii="Adobe Garamond Pro" w:hAnsi="Adobe Garamond Pro" w:cs="Aparajita"/>
          <w:sz w:val="22"/>
          <w:szCs w:val="22"/>
        </w:rPr>
        <w:t>.</w:t>
      </w:r>
    </w:p>
    <w:p w14:paraId="1AA6F970" w14:textId="77777777" w:rsidR="00260092" w:rsidRPr="002B50D8" w:rsidRDefault="00260092" w:rsidP="002B50D8">
      <w:pPr>
        <w:pStyle w:val="BodyText"/>
        <w:spacing w:before="1"/>
        <w:ind w:left="0" w:right="49"/>
        <w:rPr>
          <w:rFonts w:ascii="Adobe Garamond Pro" w:hAnsi="Adobe Garamond Pro" w:cs="ADLaM Display"/>
          <w:sz w:val="22"/>
          <w:szCs w:val="22"/>
          <w:lang w:val="en-US"/>
        </w:rPr>
      </w:pPr>
    </w:p>
    <w:p w14:paraId="09274C80" w14:textId="7E684023" w:rsidR="00A67F58" w:rsidRDefault="00264921" w:rsidP="002B50D8">
      <w:pPr>
        <w:pStyle w:val="ListParagraph"/>
        <w:numPr>
          <w:ilvl w:val="0"/>
          <w:numId w:val="2"/>
        </w:numPr>
        <w:tabs>
          <w:tab w:val="left" w:pos="567"/>
        </w:tabs>
        <w:suppressAutoHyphens/>
        <w:spacing w:after="0" w:line="360" w:lineRule="auto"/>
        <w:ind w:left="567" w:hanging="567"/>
        <w:jc w:val="both"/>
        <w:rPr>
          <w:rFonts w:ascii="Arial" w:hAnsi="Arial" w:cs="Arial"/>
          <w:b/>
          <w:color w:val="2E74B5" w:themeColor="accent1" w:themeShade="BF"/>
        </w:rPr>
      </w:pPr>
      <w:r>
        <w:rPr>
          <w:rFonts w:ascii="Arial" w:hAnsi="Arial" w:cs="Arial"/>
          <w:b/>
          <w:color w:val="2E74B5" w:themeColor="accent1" w:themeShade="BF"/>
        </w:rPr>
        <w:t>KAJIAN PUSTAKA</w:t>
      </w:r>
    </w:p>
    <w:p w14:paraId="1D77EB30" w14:textId="365E2742" w:rsidR="00264921" w:rsidRPr="00496205" w:rsidRDefault="00264921" w:rsidP="00264921">
      <w:pPr>
        <w:pStyle w:val="ListParagraph"/>
        <w:numPr>
          <w:ilvl w:val="0"/>
          <w:numId w:val="6"/>
        </w:numPr>
        <w:tabs>
          <w:tab w:val="left" w:pos="567"/>
        </w:tabs>
        <w:suppressAutoHyphens/>
        <w:spacing w:after="0" w:line="360" w:lineRule="auto"/>
        <w:ind w:left="567" w:hanging="567"/>
        <w:jc w:val="both"/>
        <w:rPr>
          <w:rFonts w:ascii="Arial" w:hAnsi="Arial" w:cs="Arial"/>
          <w:bCs/>
          <w:i/>
          <w:iCs/>
          <w:color w:val="C45911" w:themeColor="accent2" w:themeShade="BF"/>
        </w:rPr>
      </w:pPr>
      <w:r w:rsidRPr="00496205">
        <w:rPr>
          <w:rFonts w:ascii="Arial" w:hAnsi="Arial" w:cs="Arial"/>
          <w:bCs/>
          <w:i/>
          <w:iCs/>
          <w:color w:val="C45911" w:themeColor="accent2" w:themeShade="BF"/>
        </w:rPr>
        <w:t>Ecological Modernization Theory</w:t>
      </w:r>
    </w:p>
    <w:p w14:paraId="06F62A4F" w14:textId="1B2970C7" w:rsidR="00264921" w:rsidRPr="00AD4153" w:rsidRDefault="00264921" w:rsidP="00691E7B">
      <w:pPr>
        <w:pStyle w:val="BodyText"/>
        <w:spacing w:before="1" w:line="360" w:lineRule="auto"/>
        <w:ind w:left="0" w:right="49"/>
        <w:rPr>
          <w:rFonts w:ascii="Adobe Garamond Pro" w:hAnsi="Adobe Garamond Pro"/>
          <w:sz w:val="22"/>
          <w:szCs w:val="22"/>
          <w:lang w:val="en-US"/>
        </w:rPr>
      </w:pPr>
      <w:r w:rsidRPr="00264921">
        <w:rPr>
          <w:rFonts w:ascii="Adobe Garamond Pro" w:hAnsi="Adobe Garamond Pro"/>
          <w:i/>
          <w:iCs/>
          <w:sz w:val="22"/>
          <w:szCs w:val="22"/>
        </w:rPr>
        <w:t>Ecological modernization theory</w:t>
      </w:r>
      <w:r w:rsidRPr="00264921">
        <w:rPr>
          <w:rFonts w:ascii="Adobe Garamond Pro" w:hAnsi="Adobe Garamond Pro"/>
          <w:sz w:val="22"/>
          <w:szCs w:val="22"/>
        </w:rPr>
        <w:t xml:space="preserve"> merupakan teori yang diperkenalkan oleh Joseph Huber tahun 1982 dan kemudian dikembangkan oleh Arthur P. J. Mol dan Gert Spaargaren tahun 1992-2000-an. Teori ini berkembang sebagai kerangka modern yang berfokus pada reformasi lingkungan. EMT menekankan bahwa sulsi ekologis muncul dari integrasi </w:t>
      </w:r>
      <w:r w:rsidRPr="00264921">
        <w:rPr>
          <w:rFonts w:ascii="Adobe Garamond Pro" w:hAnsi="Adobe Garamond Pro"/>
          <w:i/>
          <w:iCs/>
          <w:sz w:val="22"/>
          <w:szCs w:val="22"/>
        </w:rPr>
        <w:t>ecological rationality</w:t>
      </w:r>
      <w:r w:rsidRPr="00264921">
        <w:rPr>
          <w:rFonts w:ascii="Adobe Garamond Pro" w:hAnsi="Adobe Garamond Pro"/>
          <w:sz w:val="22"/>
          <w:szCs w:val="22"/>
        </w:rPr>
        <w:t xml:space="preserve"> ke dalam institusi ekonomi dan politik, sehingga kebijakan dan praktik bisnis mulai mempertimbangkan keberlanjutan sebagai indikator baru dalam pengambilan keputusan bisnis. </w:t>
      </w:r>
      <w:r w:rsidRPr="00264921">
        <w:rPr>
          <w:rFonts w:ascii="Adobe Garamond Pro" w:hAnsi="Adobe Garamond Pro"/>
          <w:i/>
          <w:iCs/>
          <w:sz w:val="22"/>
          <w:szCs w:val="22"/>
        </w:rPr>
        <w:t xml:space="preserve">Ecological modernization theory </w:t>
      </w:r>
      <w:r w:rsidRPr="00264921">
        <w:rPr>
          <w:rFonts w:ascii="Adobe Garamond Pro" w:hAnsi="Adobe Garamond Pro"/>
          <w:sz w:val="22"/>
          <w:szCs w:val="22"/>
        </w:rPr>
        <w:t xml:space="preserve">menekankan pentingnya pengetahuan dan teknologi sebagai pendorong produksi bersih dan inovasi hijau, transformasi negara lingkungan menuju tata kelola yang lebih kolaboratif dengan melibatkan aktor non negara, peran pasar dan konsumen dalam mendorong praktik keberlanjutan, serta peran masyarakat sipil dalam advokasi dan pengawasan. Teori ini juga menunjukkan bahwa reformasi lingkungan sangat bergantung pada konfigurasi kelembagaan, dinamika pasar global, serta tekanan sosial politik, yang mengakibatkan modernisasi ekologis dapat berbeda antar negara. Dalam konteks kelapa sawit dan deforestasi, </w:t>
      </w:r>
      <w:r w:rsidRPr="00264921">
        <w:rPr>
          <w:rFonts w:ascii="Adobe Garamond Pro" w:hAnsi="Adobe Garamond Pro"/>
          <w:i/>
          <w:iCs/>
          <w:sz w:val="22"/>
          <w:szCs w:val="22"/>
        </w:rPr>
        <w:t>Ecological modernization theory</w:t>
      </w:r>
      <w:r w:rsidRPr="00264921">
        <w:rPr>
          <w:rFonts w:ascii="Adobe Garamond Pro" w:hAnsi="Adobe Garamond Pro"/>
          <w:sz w:val="22"/>
          <w:szCs w:val="22"/>
        </w:rPr>
        <w:t xml:space="preserve"> </w:t>
      </w:r>
      <w:r w:rsidRPr="00264921">
        <w:rPr>
          <w:rFonts w:ascii="Adobe Garamond Pro" w:hAnsi="Adobe Garamond Pro"/>
          <w:sz w:val="22"/>
          <w:szCs w:val="22"/>
          <w:lang w:val="en-US"/>
        </w:rPr>
        <w:t xml:space="preserve">memberikan dasar teoretis guna memahami bagaimana cara mendorong praktik bebas deforestasi pada industri kelapa sawit melalui sertifikasi, transparansi rantai pasok, dan audit berbasis data ilmiah, serta menyoroti tantangan seperti ketimpangan kekuasaan, variasi kebijakan negara, serta keterbatasan mekanisme pasar dalam memastikan akuntabilitas ekologi </w:t>
      </w:r>
      <w:r w:rsidRPr="00264921">
        <w:rPr>
          <w:rFonts w:ascii="Adobe Garamond Pro" w:hAnsi="Adobe Garamond Pro"/>
          <w:sz w:val="22"/>
          <w:szCs w:val="22"/>
          <w:lang w:val="en-US"/>
        </w:rPr>
        <w:fldChar w:fldCharType="begin" w:fldLock="1"/>
      </w:r>
      <w:r w:rsidRPr="00264921">
        <w:rPr>
          <w:rFonts w:ascii="Adobe Garamond Pro" w:hAnsi="Adobe Garamond Pro"/>
          <w:sz w:val="22"/>
          <w:szCs w:val="22"/>
          <w:lang w:val="en-US"/>
        </w:rPr>
        <w:instrText>ADDIN CSL_CITATION {"citationItems":[{"id":"ITEM-1","itemData":{"ISBN":"1803921048","author":[{"dropping-particle":"","family":"Bush","given":"Simon R","non-dropping-particle":"","parse-names":false,"suffix":""},{"dropping-particle":"","family":"Spaargaren","given":"Gert","non-dropping-particle":"","parse-names":false,"suffix":""}],"container-title":"Elgar Encyclopedia of Environmental Sociology","id":"ITEM-1","issued":{"date-parts":[["2024"]]},"page":"183-188","publisher":"Edward Elgar Publishing","title":"Ecological modernization theory","type":"chapter"},"uris":["http://www.mendeley.com/documents/?uuid=6a617714-5865-4dc1-8b64-2bb2e5c21078"]},{"id":"ITEM-2","itemData":{"ISSN":"1086-0266","author":[{"dropping-particle":"","family":"York","given":"Richard","non-dropping-particle":"","parse-names":false,"suffix":""},{"dropping-particle":"","family":"Rosa","given":"Eugene A","non-dropping-particle":"","parse-names":false,"suffix":""}],"container-title":"Organization &amp; Environment","id":"ITEM-2","issue":"3","issued":{"date-parts":[["2003"]]},"page":"273-288","publisher":"Sage Publications","title":"Key challenges to ecological modernization theory: Institutional efficacy, case study evidence, units of analysis, and the pace of eco-efficiency","type":"article-journal","volume":"16"},"uris":["http://www.mendeley.com/documents/?uuid=a30645f6-29ae-4d87-94e2-6465d1cf7a8e"]}],"mendeley":{"formattedCitation":"(Bush &amp; Spaargaren, 2024; York &amp; Rosa, 2003)","manualFormatting":"(Bush &amp; Spaargaren, 2024, York &amp; Rosa, 2003)","plainTextFormattedCitation":"(Bush &amp; Spaargaren, 2024; York &amp; Rosa, 2003)","previouslyFormattedCitation":"(Bush &amp; Spaargaren, 2024; York &amp; Rosa, 2003)"},"properties":{"noteIndex":0},"schema":"https://github.com/citation-style-language/schema/raw/master/csl-citation.json"}</w:instrText>
      </w:r>
      <w:r w:rsidRPr="00264921">
        <w:rPr>
          <w:rFonts w:ascii="Adobe Garamond Pro" w:hAnsi="Adobe Garamond Pro"/>
          <w:sz w:val="22"/>
          <w:szCs w:val="22"/>
          <w:lang w:val="en-US"/>
        </w:rPr>
        <w:fldChar w:fldCharType="separate"/>
      </w:r>
      <w:r w:rsidRPr="00264921">
        <w:rPr>
          <w:rFonts w:ascii="Adobe Garamond Pro" w:hAnsi="Adobe Garamond Pro"/>
          <w:noProof/>
          <w:sz w:val="22"/>
          <w:szCs w:val="22"/>
          <w:lang w:val="en-US"/>
        </w:rPr>
        <w:t>(Bush &amp; Spaargaren, 2024, York &amp; Rosa, 2003)</w:t>
      </w:r>
      <w:r w:rsidRPr="00264921">
        <w:rPr>
          <w:rFonts w:ascii="Adobe Garamond Pro" w:hAnsi="Adobe Garamond Pro"/>
          <w:sz w:val="22"/>
          <w:szCs w:val="22"/>
          <w:lang w:val="en-US"/>
        </w:rPr>
        <w:fldChar w:fldCharType="end"/>
      </w:r>
      <w:r w:rsidRPr="00264921">
        <w:rPr>
          <w:rFonts w:ascii="Adobe Garamond Pro" w:hAnsi="Adobe Garamond Pro"/>
          <w:sz w:val="22"/>
          <w:szCs w:val="22"/>
          <w:lang w:val="en-US"/>
        </w:rPr>
        <w:t xml:space="preserve">. </w:t>
      </w:r>
    </w:p>
    <w:p w14:paraId="023B3565" w14:textId="77777777" w:rsidR="00264921" w:rsidRPr="00496205" w:rsidRDefault="00264921" w:rsidP="00691E7B">
      <w:pPr>
        <w:pStyle w:val="ListParagraph"/>
        <w:numPr>
          <w:ilvl w:val="0"/>
          <w:numId w:val="6"/>
        </w:numPr>
        <w:tabs>
          <w:tab w:val="left" w:pos="567"/>
        </w:tabs>
        <w:suppressAutoHyphens/>
        <w:spacing w:after="0" w:line="360" w:lineRule="auto"/>
        <w:ind w:left="567" w:hanging="567"/>
        <w:jc w:val="both"/>
        <w:rPr>
          <w:rFonts w:ascii="Arial" w:hAnsi="Arial" w:cs="Arial"/>
          <w:bCs/>
          <w:i/>
          <w:iCs/>
          <w:color w:val="C45911" w:themeColor="accent2" w:themeShade="BF"/>
        </w:rPr>
      </w:pPr>
      <w:r w:rsidRPr="00496205">
        <w:rPr>
          <w:rFonts w:ascii="Arial" w:hAnsi="Arial" w:cs="Arial"/>
          <w:bCs/>
          <w:i/>
          <w:iCs/>
          <w:color w:val="C45911" w:themeColor="accent2" w:themeShade="BF"/>
        </w:rPr>
        <w:t>Stakeholder Theory</w:t>
      </w:r>
    </w:p>
    <w:p w14:paraId="4D19A3FA" w14:textId="0D5BF096" w:rsidR="00260092" w:rsidRDefault="00264921" w:rsidP="00691E7B">
      <w:pPr>
        <w:pStyle w:val="BodyText"/>
        <w:spacing w:before="1" w:line="360" w:lineRule="auto"/>
        <w:ind w:left="0" w:right="49"/>
        <w:rPr>
          <w:rFonts w:ascii="Adobe Garamond Pro" w:hAnsi="Adobe Garamond Pro"/>
          <w:sz w:val="22"/>
          <w:szCs w:val="22"/>
        </w:rPr>
      </w:pPr>
      <w:r w:rsidRPr="00264921">
        <w:rPr>
          <w:rFonts w:ascii="Adobe Garamond Pro" w:hAnsi="Adobe Garamond Pro"/>
          <w:i/>
          <w:iCs/>
          <w:sz w:val="22"/>
          <w:szCs w:val="22"/>
        </w:rPr>
        <w:t>Stakeholder theory</w:t>
      </w:r>
      <w:r w:rsidRPr="00264921">
        <w:rPr>
          <w:rFonts w:ascii="Adobe Garamond Pro" w:hAnsi="Adobe Garamond Pro"/>
          <w:sz w:val="22"/>
          <w:szCs w:val="22"/>
        </w:rPr>
        <w:t xml:space="preserve"> pertama kali diperkenalkan oleh Freeman 1984 yang menekankan bahwa keberlanjutan organisasi tidak hanya tidak hanya ditentukan oleh kepentingan pemegang saham, tetapi oleh seluruh pemangku kepentingan yang terpengaruh oleh aktivitas perusahaan, seperti masyarakat lokal, pemerintah, konsumen, LSM lingkungan, dan komunitas global. Teori ini memandang bahwa perusahaan memiliki kewajiban moral dan strategis untuk memenuhi ekspektasi para pemangku kepentingan tersebut, karena legitimasi sosial dan keberlanjutan jangka panjang sangat bergantung pada kualitas hubungan antara keduanya. Dalam konteks keberlanjutan dan deforestasi, teori ini menjelaskan mengapa perusahaan dalam industri kelapa sawit perlu meningkatkan transparansi, mengadopsi sertifikasi RSPO/ISPO, serta </w:t>
      </w:r>
      <w:r w:rsidRPr="00264921">
        <w:rPr>
          <w:rFonts w:ascii="Adobe Garamond Pro" w:hAnsi="Adobe Garamond Pro"/>
          <w:sz w:val="22"/>
          <w:szCs w:val="22"/>
        </w:rPr>
        <w:lastRenderedPageBreak/>
        <w:t>menerbitkan laporan keberlanjutan</w:t>
      </w:r>
      <w:r w:rsidRPr="00264921">
        <w:rPr>
          <w:rFonts w:ascii="Adobe Garamond Pro" w:hAnsi="Adobe Garamond Pro"/>
          <w:sz w:val="22"/>
          <w:szCs w:val="22"/>
          <w:lang w:val="en-US"/>
        </w:rPr>
        <w:t xml:space="preserve"> </w:t>
      </w:r>
      <w:r w:rsidRPr="00264921">
        <w:rPr>
          <w:rFonts w:ascii="Adobe Garamond Pro" w:hAnsi="Adobe Garamond Pro"/>
          <w:sz w:val="22"/>
          <w:szCs w:val="22"/>
          <w:lang w:val="en-US"/>
        </w:rPr>
        <w:fldChar w:fldCharType="begin" w:fldLock="1"/>
      </w:r>
      <w:r w:rsidRPr="00264921">
        <w:rPr>
          <w:rFonts w:ascii="Adobe Garamond Pro" w:hAnsi="Adobe Garamond Pro"/>
          <w:sz w:val="22"/>
          <w:szCs w:val="22"/>
          <w:lang w:val="en-US"/>
        </w:rPr>
        <w:instrText>ADDIN CSL_CITATION {"citationItems":[{"id":"ITEM-1","itemData":{"author":[{"dropping-particle":"","family":"Freeman","given":"R E","non-dropping-particle":"","parse-names":false,"suffix":""},{"dropping-particle":"","family":"Harrison","given":"J S","non-dropping-particle":"","parse-names":false,"suffix":""},{"dropping-particle":"","family":"Wicks","given":"A C","non-dropping-particle":"","parse-names":false,"suffix":""},{"dropping-particle":"","family":"Parmar","given":"B L","non-dropping-particle":"","parse-names":false,"suffix":""},{"dropping-particle":"","family":"Colle","given":"S","non-dropping-particle":"De","parse-names":false,"suffix":""}],"id":"ITEM-1","issued":{"date-parts":[["2010"]]},"title":"Stakeholder Theory. The State of the Art. Cambridge University Press: Cambridge.","type":"article-journal"},"uris":["http://www.mendeley.com/documents/?uuid=a1b06c55-9100-4ab0-8fc6-9192635aa0e0"]},{"id":"ITEM-2","itemData":{"author":[{"dropping-particle":"","family":"Chariri","given":"Anis","non-dropping-particle":"","parse-names":false,"suffix":""},{"dropping-particle":"","family":"Ghozali","given":"Imam","non-dropping-particle":"","parse-names":false,"suffix":""}],"container-title":"Semarang: Badan Penerbit Universitas Diponegoro","id":"ITEM-2","issued":{"date-parts":[["2007"]]},"title":"Teori akuntansi","type":"article-journal","volume":"409"},"uris":["http://www.mendeley.com/documents/?uuid=e003a616-faa0-435c-bc0f-6d54bc079748"]}],"mendeley":{"formattedCitation":"(Chariri &amp; Ghozali, 2007; Freeman et al., 2010)","manualFormatting":"(Chariri &amp; Ghozali, 2007, Freeman et al., 2010)","plainTextFormattedCitation":"(Chariri &amp; Ghozali, 2007; Freeman et al., 2010)","previouslyFormattedCitation":"(Chariri &amp; Ghozali, 2007; Freeman et al., 2010)"},"properties":{"noteIndex":0},"schema":"https://github.com/citation-style-language/schema/raw/master/csl-citation.json"}</w:instrText>
      </w:r>
      <w:r w:rsidRPr="00264921">
        <w:rPr>
          <w:rFonts w:ascii="Adobe Garamond Pro" w:hAnsi="Adobe Garamond Pro"/>
          <w:sz w:val="22"/>
          <w:szCs w:val="22"/>
          <w:lang w:val="en-US"/>
        </w:rPr>
        <w:fldChar w:fldCharType="separate"/>
      </w:r>
      <w:r w:rsidRPr="00264921">
        <w:rPr>
          <w:rFonts w:ascii="Adobe Garamond Pro" w:hAnsi="Adobe Garamond Pro"/>
          <w:noProof/>
          <w:sz w:val="22"/>
          <w:szCs w:val="22"/>
          <w:lang w:val="en-US"/>
        </w:rPr>
        <w:t>(Chariri &amp; Ghozali, 2007, Freeman et al., 2010)</w:t>
      </w:r>
      <w:r w:rsidRPr="00264921">
        <w:rPr>
          <w:rFonts w:ascii="Adobe Garamond Pro" w:hAnsi="Adobe Garamond Pro"/>
          <w:sz w:val="22"/>
          <w:szCs w:val="22"/>
          <w:lang w:val="en-US"/>
        </w:rPr>
        <w:fldChar w:fldCharType="end"/>
      </w:r>
      <w:r w:rsidRPr="00264921">
        <w:rPr>
          <w:rFonts w:ascii="Adobe Garamond Pro" w:hAnsi="Adobe Garamond Pro"/>
          <w:sz w:val="22"/>
          <w:szCs w:val="22"/>
        </w:rPr>
        <w:t xml:space="preserve">. Hal-hal ini merupakan respon terhadap tekanan dari stakeholder primer maupun sekunder yang menuntut praktik produksi yang etis dan bebas deforestasi. </w:t>
      </w:r>
    </w:p>
    <w:p w14:paraId="28C55392" w14:textId="77777777" w:rsidR="00260092" w:rsidRPr="00496205" w:rsidRDefault="00260092" w:rsidP="00691E7B">
      <w:pPr>
        <w:pStyle w:val="ListParagraph"/>
        <w:numPr>
          <w:ilvl w:val="0"/>
          <w:numId w:val="6"/>
        </w:numPr>
        <w:tabs>
          <w:tab w:val="left" w:pos="567"/>
        </w:tabs>
        <w:suppressAutoHyphens/>
        <w:spacing w:after="0" w:line="360" w:lineRule="auto"/>
        <w:ind w:left="567" w:hanging="567"/>
        <w:jc w:val="both"/>
        <w:rPr>
          <w:rFonts w:ascii="Arial" w:hAnsi="Arial" w:cs="Arial"/>
          <w:bCs/>
          <w:i/>
          <w:iCs/>
          <w:color w:val="C45911" w:themeColor="accent2" w:themeShade="BF"/>
        </w:rPr>
      </w:pPr>
      <w:r w:rsidRPr="00496205">
        <w:rPr>
          <w:rFonts w:ascii="Arial" w:hAnsi="Arial" w:cs="Arial"/>
          <w:bCs/>
          <w:i/>
          <w:iCs/>
          <w:color w:val="C45911" w:themeColor="accent2" w:themeShade="BF"/>
        </w:rPr>
        <w:t>Institutional &amp; Environmental Theory</w:t>
      </w:r>
    </w:p>
    <w:p w14:paraId="09F896B9" w14:textId="4B66FB36" w:rsidR="00260092" w:rsidRPr="00260092" w:rsidRDefault="00260092" w:rsidP="00691E7B">
      <w:pPr>
        <w:pStyle w:val="BodyText"/>
        <w:spacing w:before="1" w:line="360" w:lineRule="auto"/>
        <w:ind w:left="0" w:right="49"/>
        <w:rPr>
          <w:rFonts w:ascii="Adobe Garamond Pro" w:hAnsi="Adobe Garamond Pro"/>
          <w:sz w:val="22"/>
          <w:szCs w:val="22"/>
        </w:rPr>
      </w:pPr>
      <w:r>
        <w:rPr>
          <w:rFonts w:ascii="Adobe Garamond Pro" w:hAnsi="Adobe Garamond Pro"/>
          <w:i/>
          <w:iCs/>
          <w:sz w:val="22"/>
          <w:szCs w:val="22"/>
        </w:rPr>
        <w:t>Institutional Theory</w:t>
      </w:r>
      <w:r>
        <w:rPr>
          <w:rFonts w:ascii="Adobe Garamond Pro" w:hAnsi="Adobe Garamond Pro"/>
          <w:sz w:val="22"/>
          <w:szCs w:val="22"/>
        </w:rPr>
        <w:t xml:space="preserve"> </w:t>
      </w:r>
      <w:r w:rsidRPr="00260092">
        <w:rPr>
          <w:rFonts w:ascii="Adobe Garamond Pro" w:hAnsi="Adobe Garamond Pro"/>
          <w:sz w:val="22"/>
          <w:szCs w:val="22"/>
        </w:rPr>
        <w:t xml:space="preserve">diperkenalkan oleh Meyer dan Rowan 1977 dan kemudian diperluas oleh DiMaggio dan Powell tahun 1983. Teori ini menjelaskan bahwa organisasi cenderung menyesuaikan struktur, kebijakan, dan praktik mereka tidak hanya demi efisiensi ekonomi, tetapi juga untuk mendapatkan legitimasi dengan menyesuaikan diri dengan tekanan kelembagaan, seperti peraturan pemerintah, standar profesional (tekanan normatif), dan praktik organisasi. Teori ini kemudian bertransformasi menjadi </w:t>
      </w:r>
      <w:r w:rsidRPr="00260092">
        <w:rPr>
          <w:rFonts w:ascii="Adobe Garamond Pro" w:hAnsi="Adobe Garamond Pro"/>
          <w:i/>
          <w:iCs/>
          <w:sz w:val="22"/>
          <w:szCs w:val="22"/>
        </w:rPr>
        <w:t>Environmental Institutionalism</w:t>
      </w:r>
      <w:r w:rsidRPr="00260092">
        <w:rPr>
          <w:rFonts w:ascii="Adobe Garamond Pro" w:hAnsi="Adobe Garamond Pro"/>
          <w:sz w:val="22"/>
          <w:szCs w:val="22"/>
        </w:rPr>
        <w:t xml:space="preserve">, yang menekankan bahwa isu-isu lingkungan, standar global, dan sertifikasi keberlanjutan semakin menjadi elemen yang membentuk struktur dan kegiatan organisasi (Scott, 2014). Beragam penelitian mengenai industri kelapa sawit menunjukkan bahwa adopsi RSPO serta komitmen NDPE lebih dipicu oleh tekanan dari luar dibandingkan dengan kesadaran ekologis internal. </w:t>
      </w:r>
      <w:r w:rsidRPr="00260092">
        <w:rPr>
          <w:rFonts w:ascii="Adobe Garamond Pro" w:hAnsi="Adobe Garamond Pro"/>
          <w:sz w:val="22"/>
          <w:szCs w:val="22"/>
        </w:rPr>
        <w:fldChar w:fldCharType="begin" w:fldLock="1"/>
      </w:r>
      <w:r w:rsidRPr="00260092">
        <w:rPr>
          <w:rFonts w:ascii="Adobe Garamond Pro" w:hAnsi="Adobe Garamond Pro"/>
          <w:sz w:val="22"/>
          <w:szCs w:val="22"/>
        </w:rPr>
        <w:instrText>ADDIN CSL_CITATION {"citationItems":[{"id":"ITEM-1","itemData":{"DOI":"10.1073/pnas.1704728114","author":[{"dropping-particle":"","family":"Carlson","given":"Kimberly M","non-dropping-particle":"","parse-names":false,"suffix":""},{"dropping-particle":"","family":"Heilmayr","given":"Robert","non-dropping-particle":"","parse-names":false,"suffix":""},{"dropping-particle":"","family":"Gibbs","given":"Holly K","non-dropping-particle":"","parse-names":false,"suffix":""},{"dropping-particle":"","family":"Noojipady","given":"Praveen","non-dropping-particle":"","parse-names":false,"suffix":""},{"dropping-particle":"","family":"Douglas","given":"David N Burns G","non-dropping-particle":"","parse-names":false,"suffix":""},{"dropping-particle":"","family":"Morton","given":"C H","non-dropping-particle":"","parse-names":false,"suffix":""},{"dropping-particle":"","family":"G","given":"Nathalie F Walker","non-dropping-particle":"","parse-names":false,"suffix":""},{"dropping-particle":"","family":"J","given":"Gary D Paoli","non-dropping-particle":"","parse-names":false,"suffix":""},{"dropping-particle":"","family":"Sumber","given":"A Departemen","non-dropping-particle":"","parse-names":false,"suffix":""},{"dropping-particle":"","family":"Alam","given":"Daya","non-dropping-particle":"","parse-names":false,"suffix":""},{"dropping-particle":"","family":"Hawaii","given":"Universitas","non-dropping-particle":"","parse-names":false,"suffix":""},{"dropping-particle":"","family":"Hidup","given":"B Institut Lingkungan","non-dropping-particle":"","parse-names":false,"suffix":""},{"dropping-particle":"","family":"Minnesota","given":"Universitas","non-dropping-particle":"","parse-names":false,"suffix":""},{"dropping-particle":"","family":"Lingkungan","given":"C Program Studi","non-dropping-particle":"","parse-names":false,"suffix":""},{"dropping-particle":"","family":"California","given":"Universitas","non-dropping-particle":"","parse-names":false,"suffix":""},{"dropping-particle":"","family":"Barbara","given":"Santa","non-dropping-particle":"","parse-names":false,"suffix":""},{"dropping-particle":"","family":"Geografi","given":"D Departemen","non-dropping-particle":"","parse-names":false,"suffix":""},{"dropping-particle":"","family":"Wisconsin","given":"Universitas","non-dropping-particle":"","parse-names":false,"suffix":""},{"dropping-particle":"","family":"Nelson","given":"Institut","non-dropping-particle":"","parse-names":false,"suffix":""},{"dropping-particle":"","family":"Wisconsin","given":"Universitas","non-dropping-particle":"","parse-names":false,"suffix":""},{"dropping-particle":"","family":"Geografi","given":"F Departemen","non-dropping-particle":"","parse-names":false,"suffix":""},{"dropping-particle":"","family":"Wisconsin","given":"Universitas","non-dropping-particle":"","parse-names":false,"suffix":""},{"dropping-particle":"","family":"Federasi","given":"G","non-dropping-particle":"","parse-names":false,"suffix":""},{"dropping-particle":"","family":"Nasional","given":"Satwa Liar","non-dropping-particle":"","parse-names":false,"suffix":""},{"dropping-particle":"","family":"Nasional","given":"Pusat Advokasi","non-dropping-particle":"","parse-names":false,"suffix":""},{"dropping-particle":"","family":"Biosfer","given":"H Laboratorium Ilmu","non-dropping-particle":"","parse-names":false,"suffix":""},{"dropping-particle":"","family":"Penerbangan","given":"Pusat","non-dropping-particle":"","parse-names":false,"suffix":""},{"dropping-particle":"","family":"Angkasa","given":"Luar","non-dropping-particle":"","parse-names":false,"suffix":""},{"dropping-particle":"","family":"Nasa","given":"Goddard","non-dropping-particle":"","parse-names":false,"suffix":""}],"id":"ITEM-1","issue":"1","issued":{"date-parts":[["2018"]]},"title":"Dampak sertifikasi keberlanjutan kelapa sawit terhadap deforestasi dan kebakaran di Indonesia","type":"article-journal"},"uris":["http://www.mendeley.com/documents/?uuid=6e6576a8-73a6-4343-a682-5ed5f693b248"]}],"mendeley":{"formattedCitation":"(Carlson et al., 2018)","manualFormatting":"Carlson et al. (2018)","plainTextFormattedCitation":"(Carlson et al., 2018)","previouslyFormattedCitation":"(Carlson et al., 2018)"},"properties":{"noteIndex":0},"schema":"https://github.com/citation-style-language/schema/raw/master/csl-citation.json"}</w:instrText>
      </w:r>
      <w:r w:rsidRPr="00260092">
        <w:rPr>
          <w:rFonts w:ascii="Adobe Garamond Pro" w:hAnsi="Adobe Garamond Pro"/>
          <w:sz w:val="22"/>
          <w:szCs w:val="22"/>
        </w:rPr>
        <w:fldChar w:fldCharType="separate"/>
      </w:r>
      <w:r w:rsidRPr="00260092">
        <w:rPr>
          <w:rFonts w:ascii="Adobe Garamond Pro" w:hAnsi="Adobe Garamond Pro"/>
          <w:noProof/>
          <w:sz w:val="22"/>
          <w:szCs w:val="22"/>
        </w:rPr>
        <w:t>Carlson et al. (2018)</w:t>
      </w:r>
      <w:r w:rsidRPr="00260092">
        <w:rPr>
          <w:rFonts w:ascii="Adobe Garamond Pro" w:hAnsi="Adobe Garamond Pro"/>
          <w:sz w:val="22"/>
          <w:szCs w:val="22"/>
        </w:rPr>
        <w:fldChar w:fldCharType="end"/>
      </w:r>
      <w:r w:rsidRPr="00260092">
        <w:rPr>
          <w:rFonts w:ascii="Adobe Garamond Pro" w:hAnsi="Adobe Garamond Pro"/>
          <w:sz w:val="22"/>
          <w:szCs w:val="22"/>
        </w:rPr>
        <w:t xml:space="preserve"> menemukan bahwa tekanan dari LSM dan konsumen global mendorong perusahaan untuk mendapatkan sertifikasi RSPO, sementara </w:t>
      </w:r>
      <w:r w:rsidRPr="00260092">
        <w:rPr>
          <w:rFonts w:ascii="Adobe Garamond Pro" w:hAnsi="Adobe Garamond Pro"/>
          <w:sz w:val="22"/>
          <w:szCs w:val="22"/>
        </w:rPr>
        <w:fldChar w:fldCharType="begin" w:fldLock="1"/>
      </w:r>
      <w:r w:rsidRPr="00260092">
        <w:rPr>
          <w:rFonts w:ascii="Adobe Garamond Pro" w:hAnsi="Adobe Garamond Pro"/>
          <w:sz w:val="22"/>
          <w:szCs w:val="22"/>
        </w:rPr>
        <w:instrText>ADDIN CSL_CITATION {"citationItems":[{"id":"ITEM-1","itemData":{"ISSN":"2375-2548","author":[{"dropping-particle":"","family":"Zu Ermgassen","given":"Erasmus K H J","non-dropping-particle":"","parse-names":false,"suffix":""},{"dropping-particle":"","family":"Bastos Lima","given":"Mairon G","non-dropping-particle":"","parse-names":false,"suffix":""},{"dropping-particle":"","family":"Bellfield","given":"Helen","non-dropping-particle":"","parse-names":false,"suffix":""},{"dropping-particle":"","family":"Dontenville","given":"Adeline","non-dropping-particle":"","parse-names":false,"suffix":""},{"dropping-particle":"","family":"Gardner","given":"Toby","non-dropping-particle":"","parse-names":false,"suffix":""},{"dropping-particle":"","family":"Godar","given":"Javier","non-dropping-particle":"","parse-names":false,"suffix":""},{"dropping-particle":"","family":"Heilmayr","given":"Robert","non-dropping-particle":"","parse-names":false,"suffix":""},{"dropping-particle":"","family":"Indenbaum","given":"Rosa","non-dropping-particle":"","parse-names":false,"suffix":""},{"dropping-particle":"","family":"Reis","given":"Tiago N P","non-dropping-particle":"Dos","parse-names":false,"suffix":""},{"dropping-particle":"","family":"Ribeiro","given":"Vivian","non-dropping-particle":"","parse-names":false,"suffix":""}],"container-title":"Science Advances","id":"ITEM-1","issue":"17","issued":{"date-parts":[["2022"]]},"page":"eabn3132","publisher":"American Association for the Advancement of Science","title":"Addressing indirect sourcing in zero deforestation commodity supply chains","type":"article-journal","volume":"8"},"uris":["http://www.mendeley.com/documents/?uuid=dfd51064-b4f2-4865-9639-156f23321f21"]}],"mendeley":{"formattedCitation":"(Zu Ermgassen et al., 2022)","manualFormatting":"Zu Ermgassen et al. (2022)","plainTextFormattedCitation":"(Zu Ermgassen et al., 2022)","previouslyFormattedCitation":"(Zu Ermgassen et al., 2022)"},"properties":{"noteIndex":0},"schema":"https://github.com/citation-style-language/schema/raw/master/csl-citation.json"}</w:instrText>
      </w:r>
      <w:r w:rsidRPr="00260092">
        <w:rPr>
          <w:rFonts w:ascii="Adobe Garamond Pro" w:hAnsi="Adobe Garamond Pro"/>
          <w:sz w:val="22"/>
          <w:szCs w:val="22"/>
        </w:rPr>
        <w:fldChar w:fldCharType="separate"/>
      </w:r>
      <w:r w:rsidRPr="00260092">
        <w:rPr>
          <w:rFonts w:ascii="Adobe Garamond Pro" w:hAnsi="Adobe Garamond Pro"/>
          <w:noProof/>
          <w:sz w:val="22"/>
          <w:szCs w:val="22"/>
        </w:rPr>
        <w:t>Zu Ermgassen et al. (2022)</w:t>
      </w:r>
      <w:r w:rsidRPr="00260092">
        <w:rPr>
          <w:rFonts w:ascii="Adobe Garamond Pro" w:hAnsi="Adobe Garamond Pro"/>
          <w:sz w:val="22"/>
          <w:szCs w:val="22"/>
        </w:rPr>
        <w:fldChar w:fldCharType="end"/>
      </w:r>
      <w:r w:rsidRPr="00260092">
        <w:rPr>
          <w:rFonts w:ascii="Adobe Garamond Pro" w:hAnsi="Adobe Garamond Pro"/>
          <w:sz w:val="22"/>
          <w:szCs w:val="22"/>
        </w:rPr>
        <w:t xml:space="preserve"> mencatat bahwa NDPE diterapkan terutama sebagai respons terhadap permintaan dari pembeli internasional dan regulasi seperti EUDR 2023. Dengan demikian, </w:t>
      </w:r>
      <w:r w:rsidRPr="00260092">
        <w:rPr>
          <w:rFonts w:ascii="Adobe Garamond Pro" w:hAnsi="Adobe Garamond Pro"/>
          <w:i/>
          <w:iCs/>
          <w:sz w:val="22"/>
          <w:szCs w:val="22"/>
        </w:rPr>
        <w:t>Institutional Theory</w:t>
      </w:r>
      <w:r w:rsidRPr="00260092">
        <w:rPr>
          <w:rFonts w:ascii="Adobe Garamond Pro" w:hAnsi="Adobe Garamond Pro"/>
          <w:sz w:val="22"/>
          <w:szCs w:val="22"/>
        </w:rPr>
        <w:t xml:space="preserve"> menjelaskan mengapa praktik keberlanjutan dalam industri kelapa sawit sering kali bersifat simbolik dan fokus pada legitimasi, bukan perubahan ekologis yang sebenarnya. </w:t>
      </w:r>
    </w:p>
    <w:p w14:paraId="43AE84CB" w14:textId="178D0D3A" w:rsidR="00A67F58" w:rsidRPr="006D633A" w:rsidRDefault="00A67F58" w:rsidP="00691E7B">
      <w:pPr>
        <w:tabs>
          <w:tab w:val="left" w:pos="0"/>
        </w:tabs>
        <w:suppressAutoHyphens/>
        <w:spacing w:after="0" w:line="360" w:lineRule="auto"/>
        <w:jc w:val="both"/>
        <w:rPr>
          <w:rFonts w:ascii="Adobe Garamond Pro" w:hAnsi="Adobe Garamond Pro" w:cstheme="minorHAnsi"/>
        </w:rPr>
      </w:pPr>
    </w:p>
    <w:p w14:paraId="192945BA" w14:textId="759325EC" w:rsidR="00A67F58" w:rsidRDefault="007672DE" w:rsidP="00691E7B">
      <w:pPr>
        <w:pStyle w:val="ListParagraph"/>
        <w:numPr>
          <w:ilvl w:val="0"/>
          <w:numId w:val="2"/>
        </w:numPr>
        <w:tabs>
          <w:tab w:val="left" w:pos="360"/>
        </w:tabs>
        <w:suppressAutoHyphens/>
        <w:spacing w:after="0" w:line="360" w:lineRule="auto"/>
        <w:ind w:left="567" w:hanging="567"/>
        <w:contextualSpacing w:val="0"/>
        <w:jc w:val="both"/>
        <w:rPr>
          <w:rFonts w:ascii="Arial" w:hAnsi="Arial" w:cs="Arial"/>
          <w:b/>
          <w:color w:val="2E74B5" w:themeColor="accent1" w:themeShade="BF"/>
        </w:rPr>
      </w:pPr>
      <w:r w:rsidRPr="00DC3EFC">
        <w:rPr>
          <w:rFonts w:ascii="Arial" w:hAnsi="Arial" w:cs="Arial"/>
          <w:b/>
          <w:color w:val="2E74B5" w:themeColor="accent1" w:themeShade="BF"/>
        </w:rPr>
        <w:t xml:space="preserve">METHOD, DATA, AND ANALYSIS </w:t>
      </w:r>
    </w:p>
    <w:p w14:paraId="7114A12B" w14:textId="1F1EC129" w:rsidR="00260092" w:rsidRPr="00496205" w:rsidRDefault="00820913" w:rsidP="00691E7B">
      <w:pPr>
        <w:pStyle w:val="ListParagraph"/>
        <w:numPr>
          <w:ilvl w:val="0"/>
          <w:numId w:val="8"/>
        </w:numPr>
        <w:tabs>
          <w:tab w:val="left" w:pos="360"/>
        </w:tabs>
        <w:suppressAutoHyphens/>
        <w:spacing w:after="0" w:line="360" w:lineRule="auto"/>
        <w:ind w:left="567" w:hanging="567"/>
        <w:contextualSpacing w:val="0"/>
        <w:jc w:val="both"/>
        <w:rPr>
          <w:rFonts w:ascii="Arial" w:hAnsi="Arial" w:cs="Arial"/>
          <w:bCs/>
          <w:i/>
          <w:iCs/>
          <w:color w:val="EE0000"/>
        </w:rPr>
      </w:pPr>
      <w:r>
        <w:rPr>
          <w:rFonts w:ascii="Arial" w:hAnsi="Arial" w:cs="Arial"/>
          <w:bCs/>
          <w:i/>
          <w:iCs/>
          <w:color w:val="C45911" w:themeColor="accent2" w:themeShade="BF"/>
        </w:rPr>
        <w:t>Desain Penelitian</w:t>
      </w:r>
    </w:p>
    <w:p w14:paraId="4607D39B" w14:textId="364B99E7" w:rsidR="00260092" w:rsidRPr="00F27D05" w:rsidRDefault="00F27D05" w:rsidP="00691E7B">
      <w:pPr>
        <w:pStyle w:val="BodyText"/>
        <w:spacing w:before="1" w:line="360" w:lineRule="auto"/>
        <w:ind w:left="0" w:right="49"/>
        <w:rPr>
          <w:rFonts w:ascii="Adobe Garamond Pro" w:hAnsi="Adobe Garamond Pro"/>
          <w:sz w:val="22"/>
          <w:szCs w:val="22"/>
          <w:lang w:val="en-US"/>
        </w:rPr>
      </w:pPr>
      <w:bookmarkStart w:id="0" w:name="_Hlk217435130"/>
      <w:r w:rsidRPr="00F27D05">
        <w:rPr>
          <w:rFonts w:ascii="Adobe Garamond Pro" w:hAnsi="Adobe Garamond Pro"/>
          <w:sz w:val="22"/>
          <w:szCs w:val="22"/>
          <w:lang w:val="en-US"/>
        </w:rPr>
        <w:t xml:space="preserve">Penelitian ini menggunakan metode </w:t>
      </w:r>
      <w:r w:rsidRPr="00F27D05">
        <w:rPr>
          <w:rFonts w:ascii="Adobe Garamond Pro" w:hAnsi="Adobe Garamond Pro"/>
          <w:i/>
          <w:iCs/>
          <w:sz w:val="22"/>
          <w:szCs w:val="22"/>
          <w:lang w:val="en-US"/>
        </w:rPr>
        <w:t>Systematic Literature Review</w:t>
      </w:r>
      <w:r w:rsidRPr="00F27D05">
        <w:rPr>
          <w:rFonts w:ascii="Adobe Garamond Pro" w:hAnsi="Adobe Garamond Pro"/>
          <w:sz w:val="22"/>
          <w:szCs w:val="22"/>
          <w:lang w:val="en-US"/>
        </w:rPr>
        <w:t xml:space="preserve"> (SLR) dengan pendekatan </w:t>
      </w:r>
      <w:r w:rsidRPr="00F27D05">
        <w:rPr>
          <w:rFonts w:ascii="Adobe Garamond Pro" w:hAnsi="Adobe Garamond Pro"/>
          <w:i/>
          <w:iCs/>
          <w:sz w:val="22"/>
          <w:szCs w:val="22"/>
          <w:lang w:val="en-US"/>
        </w:rPr>
        <w:t>narrative synthesis</w:t>
      </w:r>
      <w:r w:rsidRPr="00F27D05">
        <w:rPr>
          <w:rFonts w:ascii="Adobe Garamond Pro" w:hAnsi="Adobe Garamond Pro"/>
          <w:sz w:val="22"/>
          <w:szCs w:val="22"/>
          <w:lang w:val="en-US"/>
        </w:rPr>
        <w:t xml:space="preserve"> untuk mengidentifikasi, mengorganisasi, dan menemukan bukti empiris terkait praktik keberlanjutan industri kelapa sawit, deforestasi, serta mekanisme pelaporan dan audit lingkungan. Pendekatan </w:t>
      </w:r>
      <w:r w:rsidRPr="00F27D05">
        <w:rPr>
          <w:rFonts w:ascii="Adobe Garamond Pro" w:hAnsi="Adobe Garamond Pro"/>
          <w:i/>
          <w:iCs/>
          <w:sz w:val="22"/>
          <w:szCs w:val="22"/>
          <w:lang w:val="en-US"/>
        </w:rPr>
        <w:t>narrative synthesis</w:t>
      </w:r>
      <w:r w:rsidRPr="00F27D05">
        <w:rPr>
          <w:rFonts w:ascii="Adobe Garamond Pro" w:hAnsi="Adobe Garamond Pro"/>
          <w:sz w:val="22"/>
          <w:szCs w:val="22"/>
          <w:lang w:val="en-US"/>
        </w:rPr>
        <w:t xml:space="preserve"> dipilih karena sesuai untuk mengintegrasikan berbagai jenis bukti, baik kuantitatif berbasis satelit maupun kualitatif berbasis evaluasi kebijakan, sehingga memungkinkan analisis yang lebih komprehensif terhadap pola, konsistensi, dan kontradiksi antar penelitian </w:t>
      </w:r>
      <w:r w:rsidRPr="00F27D05">
        <w:rPr>
          <w:rFonts w:ascii="Adobe Garamond Pro" w:hAnsi="Adobe Garamond Pro"/>
          <w:sz w:val="22"/>
          <w:szCs w:val="22"/>
          <w:lang w:val="en-US"/>
        </w:rPr>
        <w:fldChar w:fldCharType="begin" w:fldLock="1"/>
      </w:r>
      <w:r w:rsidRPr="00F27D05">
        <w:rPr>
          <w:rFonts w:ascii="Adobe Garamond Pro" w:hAnsi="Adobe Garamond Pro"/>
          <w:sz w:val="22"/>
          <w:szCs w:val="22"/>
          <w:lang w:val="en-US"/>
        </w:rPr>
        <w:instrText>ADDIN CSL_CITATION {"citationItems":[{"id":"ITEM-1","itemData":{"author":[{"dropping-particle":"","family":"Popay","given":"Jennie","non-dropping-particle":"","parse-names":false,"suffix":""},{"dropping-particle":"","family":"Roberts","given":"Helen","non-dropping-particle":"","parse-names":false,"suffix":""},{"dropping-particle":"","family":"Sowden","given":"Amanda","non-dropping-particle":"","parse-names":false,"suffix":""},{"dropping-particle":"","family":"Petticrew","given":"Mark","non-dropping-particle":"","parse-names":false,"suffix":""},{"dropping-particle":"","family":"Arai","given":"Lisa","non-dropping-particle":"","parse-names":false,"suffix":""},{"dropping-particle":"","family":"Rodgers","given":"Mark","non-dropping-particle":"","parse-names":false,"suffix":""},{"dropping-particle":"","family":"Britten","given":"Nicky","non-dropping-particle":"","parse-names":false,"suffix":""},{"dropping-particle":"","family":"Roen","given":"Katrina","non-dropping-particle":"","parse-names":false,"suffix":""},{"dropping-particle":"","family":"Duffy","given":"Steven","non-dropping-particle":"","parse-names":false,"suffix":""}],"container-title":"A product from the ESRC methods programme Version","id":"ITEM-1","issue":"1","issued":{"date-parts":[["2006"]]},"page":"b92","title":"Guidance on the conduct of narrative synthesis in systematic reviews","type":"article-journal","volume":"1"},"uris":["http://www.mendeley.com/documents/?uuid=71964134-6050-407d-85d1-6f0d2d2b07c1"]}],"mendeley":{"formattedCitation":"(Popay et al., 2006)","plainTextFormattedCitation":"(Popay et al., 2006)","previouslyFormattedCitation":"(Popay et al., 2006)"},"properties":{"noteIndex":0},"schema":"https://github.com/citation-style-language/schema/raw/master/csl-citation.json"}</w:instrText>
      </w:r>
      <w:r w:rsidRPr="00F27D05">
        <w:rPr>
          <w:rFonts w:ascii="Adobe Garamond Pro" w:hAnsi="Adobe Garamond Pro"/>
          <w:sz w:val="22"/>
          <w:szCs w:val="22"/>
          <w:lang w:val="en-US"/>
        </w:rPr>
        <w:fldChar w:fldCharType="separate"/>
      </w:r>
      <w:r w:rsidRPr="00F27D05">
        <w:rPr>
          <w:rFonts w:ascii="Adobe Garamond Pro" w:hAnsi="Adobe Garamond Pro"/>
          <w:noProof/>
          <w:sz w:val="22"/>
          <w:szCs w:val="22"/>
          <w:lang w:val="en-US"/>
        </w:rPr>
        <w:t>(Popay et al., 2006)</w:t>
      </w:r>
      <w:r w:rsidRPr="00F27D05">
        <w:rPr>
          <w:rFonts w:ascii="Adobe Garamond Pro" w:hAnsi="Adobe Garamond Pro"/>
          <w:sz w:val="22"/>
          <w:szCs w:val="22"/>
          <w:lang w:val="en-US"/>
        </w:rPr>
        <w:fldChar w:fldCharType="end"/>
      </w:r>
      <w:r w:rsidRPr="00F27D05">
        <w:rPr>
          <w:rFonts w:ascii="Adobe Garamond Pro" w:hAnsi="Adobe Garamond Pro"/>
          <w:sz w:val="22"/>
          <w:szCs w:val="22"/>
          <w:lang w:val="en-US"/>
        </w:rPr>
        <w:t xml:space="preserve">. </w:t>
      </w:r>
    </w:p>
    <w:p w14:paraId="17B59F47" w14:textId="6D036521" w:rsidR="00260092" w:rsidRPr="00F27D05" w:rsidRDefault="00F27D05" w:rsidP="00AD4153">
      <w:pPr>
        <w:pStyle w:val="BodyText"/>
        <w:spacing w:before="1" w:line="360" w:lineRule="auto"/>
        <w:ind w:left="0" w:right="49" w:firstLine="567"/>
        <w:rPr>
          <w:rFonts w:ascii="Adobe Garamond Pro" w:hAnsi="Adobe Garamond Pro"/>
          <w:sz w:val="22"/>
          <w:szCs w:val="22"/>
          <w:lang w:val="en-US"/>
        </w:rPr>
      </w:pPr>
      <w:r w:rsidRPr="00F27D05">
        <w:rPr>
          <w:rFonts w:ascii="Adobe Garamond Pro" w:hAnsi="Adobe Garamond Pro"/>
          <w:sz w:val="22"/>
          <w:szCs w:val="22"/>
          <w:lang w:val="en-US"/>
        </w:rPr>
        <w:t xml:space="preserve">Proses </w:t>
      </w:r>
      <w:r w:rsidRPr="00F27D05">
        <w:rPr>
          <w:rFonts w:ascii="Adobe Garamond Pro" w:hAnsi="Adobe Garamond Pro"/>
          <w:i/>
          <w:iCs/>
          <w:sz w:val="22"/>
          <w:szCs w:val="22"/>
          <w:lang w:val="en-US"/>
        </w:rPr>
        <w:t>literature review</w:t>
      </w:r>
      <w:r w:rsidRPr="00F27D05">
        <w:rPr>
          <w:rFonts w:ascii="Adobe Garamond Pro" w:hAnsi="Adobe Garamond Pro"/>
          <w:sz w:val="22"/>
          <w:szCs w:val="22"/>
          <w:lang w:val="en-US"/>
        </w:rPr>
        <w:t xml:space="preserve"> dilakukan mengikuti tahapan </w:t>
      </w:r>
      <w:r w:rsidRPr="00F27D05">
        <w:rPr>
          <w:rFonts w:ascii="Adobe Garamond Pro" w:hAnsi="Adobe Garamond Pro"/>
          <w:i/>
          <w:iCs/>
          <w:sz w:val="22"/>
          <w:szCs w:val="22"/>
          <w:lang w:val="en-US"/>
        </w:rPr>
        <w:t>identification, screening, eligibility,</w:t>
      </w:r>
      <w:r w:rsidRPr="00F27D05">
        <w:rPr>
          <w:rFonts w:ascii="Adobe Garamond Pro" w:hAnsi="Adobe Garamond Pro"/>
          <w:sz w:val="22"/>
          <w:szCs w:val="22"/>
          <w:lang w:val="en-US"/>
        </w:rPr>
        <w:t xml:space="preserve"> dan </w:t>
      </w:r>
      <w:r w:rsidRPr="00F27D05">
        <w:rPr>
          <w:rFonts w:ascii="Adobe Garamond Pro" w:hAnsi="Adobe Garamond Pro"/>
          <w:i/>
          <w:iCs/>
          <w:sz w:val="22"/>
          <w:szCs w:val="22"/>
          <w:lang w:val="en-US"/>
        </w:rPr>
        <w:t>inclusion</w:t>
      </w:r>
      <w:r w:rsidRPr="00F27D05">
        <w:rPr>
          <w:rFonts w:ascii="Adobe Garamond Pro" w:hAnsi="Adobe Garamond Pro"/>
          <w:sz w:val="22"/>
          <w:szCs w:val="22"/>
          <w:lang w:val="en-US"/>
        </w:rPr>
        <w:t xml:space="preserve"> termasuk penelusuran sistematis pada database Scopus, Web of Science, ScienceDirect, dan Google Scholar menggunakan kata kunci seperti </w:t>
      </w:r>
      <w:r w:rsidRPr="00F27D05">
        <w:rPr>
          <w:rFonts w:ascii="Adobe Garamond Pro" w:hAnsi="Adobe Garamond Pro"/>
          <w:i/>
          <w:iCs/>
          <w:sz w:val="22"/>
          <w:szCs w:val="22"/>
          <w:lang w:val="en-US"/>
        </w:rPr>
        <w:t>palm oil</w:t>
      </w:r>
      <w:r w:rsidRPr="00F27D05">
        <w:rPr>
          <w:rFonts w:ascii="Adobe Garamond Pro" w:hAnsi="Adobe Garamond Pro"/>
          <w:sz w:val="22"/>
          <w:szCs w:val="22"/>
          <w:lang w:val="en-US"/>
        </w:rPr>
        <w:t xml:space="preserve">, </w:t>
      </w:r>
      <w:r w:rsidRPr="00F27D05">
        <w:rPr>
          <w:rFonts w:ascii="Adobe Garamond Pro" w:hAnsi="Adobe Garamond Pro"/>
          <w:i/>
          <w:iCs/>
          <w:sz w:val="22"/>
          <w:szCs w:val="22"/>
          <w:lang w:val="en-US"/>
        </w:rPr>
        <w:t>deforestation</w:t>
      </w:r>
      <w:r w:rsidRPr="00F27D05">
        <w:rPr>
          <w:rFonts w:ascii="Adobe Garamond Pro" w:hAnsi="Adobe Garamond Pro"/>
          <w:sz w:val="22"/>
          <w:szCs w:val="22"/>
          <w:lang w:val="en-US"/>
        </w:rPr>
        <w:t xml:space="preserve">, </w:t>
      </w:r>
      <w:r w:rsidRPr="00F27D05">
        <w:rPr>
          <w:rFonts w:ascii="Adobe Garamond Pro" w:hAnsi="Adobe Garamond Pro"/>
          <w:i/>
          <w:iCs/>
          <w:sz w:val="22"/>
          <w:szCs w:val="22"/>
          <w:lang w:val="en-US"/>
        </w:rPr>
        <w:t>sustainability reporting</w:t>
      </w:r>
      <w:r w:rsidRPr="00F27D05">
        <w:rPr>
          <w:rFonts w:ascii="Adobe Garamond Pro" w:hAnsi="Adobe Garamond Pro"/>
          <w:sz w:val="22"/>
          <w:szCs w:val="22"/>
          <w:lang w:val="en-US"/>
        </w:rPr>
        <w:t xml:space="preserve">, </w:t>
      </w:r>
      <w:r w:rsidRPr="00F27D05">
        <w:rPr>
          <w:rFonts w:ascii="Adobe Garamond Pro" w:hAnsi="Adobe Garamond Pro"/>
          <w:i/>
          <w:iCs/>
          <w:sz w:val="22"/>
          <w:szCs w:val="22"/>
          <w:lang w:val="en-US"/>
        </w:rPr>
        <w:t>environmental audit</w:t>
      </w:r>
      <w:r w:rsidRPr="00F27D05">
        <w:rPr>
          <w:rFonts w:ascii="Adobe Garamond Pro" w:hAnsi="Adobe Garamond Pro"/>
          <w:sz w:val="22"/>
          <w:szCs w:val="22"/>
          <w:lang w:val="en-US"/>
        </w:rPr>
        <w:t xml:space="preserve">, </w:t>
      </w:r>
      <w:r w:rsidRPr="00F27D05">
        <w:rPr>
          <w:rFonts w:ascii="Adobe Garamond Pro" w:hAnsi="Adobe Garamond Pro"/>
          <w:i/>
          <w:iCs/>
          <w:sz w:val="22"/>
          <w:szCs w:val="22"/>
          <w:lang w:val="en-US"/>
        </w:rPr>
        <w:t>NDPE policy</w:t>
      </w:r>
      <w:r w:rsidRPr="00F27D05">
        <w:rPr>
          <w:rFonts w:ascii="Adobe Garamond Pro" w:hAnsi="Adobe Garamond Pro"/>
          <w:sz w:val="22"/>
          <w:szCs w:val="22"/>
          <w:lang w:val="en-US"/>
        </w:rPr>
        <w:t xml:space="preserve">, dan </w:t>
      </w:r>
      <w:r w:rsidRPr="00F27D05">
        <w:rPr>
          <w:rFonts w:ascii="Adobe Garamond Pro" w:hAnsi="Adobe Garamond Pro"/>
          <w:i/>
          <w:iCs/>
          <w:sz w:val="22"/>
          <w:szCs w:val="22"/>
          <w:lang w:val="en-US"/>
        </w:rPr>
        <w:t>zero-deforestation commitments</w:t>
      </w:r>
      <w:r w:rsidRPr="00F27D05">
        <w:rPr>
          <w:rFonts w:ascii="Adobe Garamond Pro" w:hAnsi="Adobe Garamond Pro"/>
          <w:sz w:val="22"/>
          <w:szCs w:val="22"/>
          <w:lang w:val="en-US"/>
        </w:rPr>
        <w:t xml:space="preserve">. Artikel yang memenuhi kriteria, yaitu jurnal internasional bereputasi dari tahun 2005 hingga saat ini dan relevan dengan konteks akuntansi keberlanjutan, audit lingkungan, deforestasi dan kelapa sawit. Selanjutnya dianalisis secara tematik untuk mengidentifikasi kategori utama seperti efektivitas sertifikasi, </w:t>
      </w:r>
      <w:r w:rsidRPr="00F27D05">
        <w:rPr>
          <w:rFonts w:ascii="Adobe Garamond Pro" w:hAnsi="Adobe Garamond Pro"/>
          <w:i/>
          <w:iCs/>
          <w:sz w:val="22"/>
          <w:szCs w:val="22"/>
          <w:lang w:val="en-US"/>
        </w:rPr>
        <w:t>traceability</w:t>
      </w:r>
      <w:r w:rsidRPr="00F27D05">
        <w:rPr>
          <w:rFonts w:ascii="Adobe Garamond Pro" w:hAnsi="Adobe Garamond Pro"/>
          <w:sz w:val="22"/>
          <w:szCs w:val="22"/>
          <w:lang w:val="en-US"/>
        </w:rPr>
        <w:t xml:space="preserve">, tekanan institusional, serta kesenjangan antara pelaporan dan realitas ekologis. </w:t>
      </w:r>
    </w:p>
    <w:p w14:paraId="7FAB0A00" w14:textId="75A8EFC6" w:rsidR="00496205" w:rsidRDefault="00F27D05" w:rsidP="00AD4153">
      <w:pPr>
        <w:pStyle w:val="BodyText"/>
        <w:spacing w:before="1" w:line="360" w:lineRule="auto"/>
        <w:ind w:left="0" w:right="49" w:firstLine="567"/>
        <w:rPr>
          <w:rFonts w:ascii="Adobe Garamond Pro" w:hAnsi="Adobe Garamond Pro"/>
          <w:sz w:val="22"/>
          <w:szCs w:val="22"/>
          <w:lang w:val="en-US"/>
        </w:rPr>
      </w:pPr>
      <w:r w:rsidRPr="00F27D05">
        <w:rPr>
          <w:rFonts w:ascii="Adobe Garamond Pro" w:hAnsi="Adobe Garamond Pro"/>
          <w:sz w:val="22"/>
          <w:szCs w:val="22"/>
          <w:lang w:val="en-US"/>
        </w:rPr>
        <w:t xml:space="preserve">Teknik </w:t>
      </w:r>
      <w:r w:rsidRPr="00F27D05">
        <w:rPr>
          <w:rFonts w:ascii="Adobe Garamond Pro" w:hAnsi="Adobe Garamond Pro"/>
          <w:i/>
          <w:iCs/>
          <w:sz w:val="22"/>
          <w:szCs w:val="22"/>
          <w:lang w:val="en-US"/>
        </w:rPr>
        <w:t>narrative synthesis</w:t>
      </w:r>
      <w:r w:rsidRPr="00F27D05">
        <w:rPr>
          <w:rFonts w:ascii="Adobe Garamond Pro" w:hAnsi="Adobe Garamond Pro"/>
          <w:sz w:val="22"/>
          <w:szCs w:val="22"/>
          <w:lang w:val="en-US"/>
        </w:rPr>
        <w:t xml:space="preserve"> memungkinkan peneliti menginterpretasikan bukti dengan </w:t>
      </w:r>
      <w:r w:rsidRPr="00F27D05">
        <w:rPr>
          <w:rFonts w:ascii="Adobe Garamond Pro" w:hAnsi="Adobe Garamond Pro"/>
          <w:sz w:val="22"/>
          <w:szCs w:val="22"/>
          <w:lang w:val="en-US"/>
        </w:rPr>
        <w:lastRenderedPageBreak/>
        <w:t xml:space="preserve">mempertimbangkan konteks sosial-institusional setiap penelitian, sehingga menghasilkan pemahaman yang lebih mendalam mengenai bagaimana perusahaan sawit membangun narasi keberlanjutan dan sejauh mana klaim tersebut dapat diverifikasi secara lingkungan </w:t>
      </w:r>
      <w:r w:rsidRPr="00F27D05">
        <w:rPr>
          <w:rFonts w:ascii="Adobe Garamond Pro" w:hAnsi="Adobe Garamond Pro"/>
          <w:sz w:val="22"/>
          <w:szCs w:val="22"/>
          <w:lang w:val="en-US"/>
        </w:rPr>
        <w:fldChar w:fldCharType="begin" w:fldLock="1"/>
      </w:r>
      <w:r w:rsidRPr="00F27D05">
        <w:rPr>
          <w:rFonts w:ascii="Adobe Garamond Pro" w:hAnsi="Adobe Garamond Pro"/>
          <w:sz w:val="22"/>
          <w:szCs w:val="22"/>
          <w:lang w:val="en-US"/>
        </w:rPr>
        <w:instrText>ADDIN CSL_CITATION {"citationItems":[{"id":"ITEM-1","itemData":{"ISSN":"0268-3962","author":[{"dropping-particle":"","family":"Boell","given":"Sebastian K","non-dropping-particle":"","parse-names":false,"suffix":""},{"dropping-particle":"","family":"Cecez-Kecmanovic","given":"Dubravka","non-dropping-particle":"","parse-names":false,"suffix":""}],"container-title":"Journal of information technology","id":"ITEM-1","issue":"2","issued":{"date-parts":[["2015"]]},"page":"161-173","publisher":"SAGE Publications Sage UK: London, England","title":"On being ‘systematic’in literature reviews in IS","type":"article-journal","volume":"30"},"uris":["http://www.mendeley.com/documents/?uuid=892aaee2-f06d-40b3-a6bd-fd7c4e47785c"]}],"mendeley":{"formattedCitation":"(Boell &amp; Cecez-Kecmanovic, 2015)","plainTextFormattedCitation":"(Boell &amp; Cecez-Kecmanovic, 2015)","previouslyFormattedCitation":"(Boell &amp; Cecez-Kecmanovic, 2015)"},"properties":{"noteIndex":0},"schema":"https://github.com/citation-style-language/schema/raw/master/csl-citation.json"}</w:instrText>
      </w:r>
      <w:r w:rsidRPr="00F27D05">
        <w:rPr>
          <w:rFonts w:ascii="Adobe Garamond Pro" w:hAnsi="Adobe Garamond Pro"/>
          <w:sz w:val="22"/>
          <w:szCs w:val="22"/>
          <w:lang w:val="en-US"/>
        </w:rPr>
        <w:fldChar w:fldCharType="separate"/>
      </w:r>
      <w:r w:rsidRPr="00F27D05">
        <w:rPr>
          <w:rFonts w:ascii="Adobe Garamond Pro" w:hAnsi="Adobe Garamond Pro"/>
          <w:noProof/>
          <w:sz w:val="22"/>
          <w:szCs w:val="22"/>
          <w:lang w:val="en-US"/>
        </w:rPr>
        <w:t>(Boell &amp; Cecez-Kecmanovic, 2015)</w:t>
      </w:r>
      <w:r w:rsidRPr="00F27D05">
        <w:rPr>
          <w:rFonts w:ascii="Adobe Garamond Pro" w:hAnsi="Adobe Garamond Pro"/>
          <w:sz w:val="22"/>
          <w:szCs w:val="22"/>
          <w:lang w:val="en-US"/>
        </w:rPr>
        <w:fldChar w:fldCharType="end"/>
      </w:r>
      <w:r w:rsidRPr="00F27D05">
        <w:rPr>
          <w:rFonts w:ascii="Adobe Garamond Pro" w:hAnsi="Adobe Garamond Pro"/>
          <w:sz w:val="22"/>
          <w:szCs w:val="22"/>
          <w:lang w:val="en-US"/>
        </w:rPr>
        <w:t xml:space="preserve">. Metode ini juga memungkinkan identifikasi </w:t>
      </w:r>
      <w:r w:rsidRPr="00F27D05">
        <w:rPr>
          <w:rFonts w:ascii="Adobe Garamond Pro" w:hAnsi="Adobe Garamond Pro"/>
          <w:i/>
          <w:iCs/>
          <w:sz w:val="22"/>
          <w:szCs w:val="22"/>
          <w:lang w:val="en-US"/>
        </w:rPr>
        <w:t>research gap</w:t>
      </w:r>
      <w:r w:rsidRPr="00F27D05">
        <w:rPr>
          <w:rFonts w:ascii="Adobe Garamond Pro" w:hAnsi="Adobe Garamond Pro"/>
          <w:sz w:val="22"/>
          <w:szCs w:val="22"/>
          <w:lang w:val="en-US"/>
        </w:rPr>
        <w:t xml:space="preserve"> yang belum terjawab, khususnya terkait integrasi antara data geospasial objektif dan praktik audit keberlanjutan yang selama ini lebih berfokus pada kepatuhan administratif</w:t>
      </w:r>
      <w:r w:rsidR="00496205">
        <w:rPr>
          <w:rFonts w:ascii="Adobe Garamond Pro" w:hAnsi="Adobe Garamond Pro"/>
          <w:sz w:val="22"/>
          <w:szCs w:val="22"/>
          <w:lang w:val="en-US"/>
        </w:rPr>
        <w:t>.</w:t>
      </w:r>
    </w:p>
    <w:p w14:paraId="00BE81AF" w14:textId="71FA4C35" w:rsidR="00496205" w:rsidRPr="002E5457" w:rsidRDefault="00CB2623" w:rsidP="00691E7B">
      <w:pPr>
        <w:pStyle w:val="ListParagraph"/>
        <w:numPr>
          <w:ilvl w:val="0"/>
          <w:numId w:val="8"/>
        </w:numPr>
        <w:tabs>
          <w:tab w:val="left" w:pos="360"/>
        </w:tabs>
        <w:suppressAutoHyphens/>
        <w:spacing w:after="0" w:line="360" w:lineRule="auto"/>
        <w:ind w:left="567" w:hanging="567"/>
        <w:contextualSpacing w:val="0"/>
        <w:jc w:val="both"/>
        <w:rPr>
          <w:rFonts w:ascii="Arial" w:hAnsi="Arial" w:cs="Arial"/>
          <w:bCs/>
          <w:i/>
          <w:iCs/>
          <w:color w:val="EE0000"/>
        </w:rPr>
      </w:pPr>
      <w:r>
        <w:rPr>
          <w:rFonts w:ascii="Arial" w:hAnsi="Arial" w:cs="Arial"/>
          <w:bCs/>
          <w:i/>
          <w:iCs/>
          <w:color w:val="C45911" w:themeColor="accent2" w:themeShade="BF"/>
        </w:rPr>
        <w:t xml:space="preserve">Pengumpulan dan Pemilihan Data Artikel </w:t>
      </w:r>
    </w:p>
    <w:p w14:paraId="0530A093" w14:textId="5D433083" w:rsidR="00CB2623" w:rsidRPr="004531A9" w:rsidRDefault="00396CFD" w:rsidP="00691E7B">
      <w:pPr>
        <w:pStyle w:val="BodyText"/>
        <w:spacing w:before="1" w:line="360" w:lineRule="auto"/>
        <w:ind w:left="0" w:right="49"/>
        <w:rPr>
          <w:rFonts w:ascii="Adobe Garamond Pro" w:hAnsi="Adobe Garamond Pro" w:cs="Arial"/>
          <w:sz w:val="22"/>
          <w:szCs w:val="22"/>
          <w:lang w:val="en-US"/>
        </w:rPr>
      </w:pPr>
      <w:r w:rsidRPr="004531A9">
        <w:rPr>
          <w:rFonts w:ascii="Adobe Garamond Pro" w:hAnsi="Adobe Garamond Pro" w:cs="Arial"/>
          <w:sz w:val="22"/>
          <w:szCs w:val="22"/>
          <w:lang w:val="en-US"/>
        </w:rPr>
        <w:t xml:space="preserve">Tinjauan </w:t>
      </w:r>
      <w:r w:rsidR="00496205" w:rsidRPr="004531A9">
        <w:rPr>
          <w:rFonts w:ascii="Adobe Garamond Pro" w:hAnsi="Adobe Garamond Pro" w:cs="Arial"/>
          <w:sz w:val="22"/>
          <w:szCs w:val="22"/>
          <w:lang w:val="en-US"/>
        </w:rPr>
        <w:t xml:space="preserve">Literatur ini menggunakan data sekunder berupa artikel jurnal internasional bereputasi yang diperoleh melalui database Scopus dan Web of Science. </w:t>
      </w:r>
      <w:r w:rsidR="001C45ED" w:rsidRPr="004531A9">
        <w:rPr>
          <w:rFonts w:ascii="Adobe Garamond Pro" w:hAnsi="Adobe Garamond Pro" w:cs="Arial"/>
          <w:sz w:val="22"/>
          <w:szCs w:val="22"/>
          <w:lang w:val="en-US"/>
        </w:rPr>
        <w:t>Basis data yang dipilih didasari atas pertimbangan akan kualitas ilmiah dan validitas temuan yang nantinya akan dianalisa lebih lanjut dalam literatur ini. Strategi pemilihan dan pencarian literatur dilakukan secara sistematis dengan menggunakan kombinasi kata kunci yang relevan secara konseptual dan hasil penelitian. Kata kunci yang digunakan mencakup permasalahan utama dalam industri kelapa sawit, deforestasi, keberlanjutan, serta mekanisme akuntabilitas lingkungan</w:t>
      </w:r>
      <w:r w:rsidR="001735CC" w:rsidRPr="004531A9">
        <w:rPr>
          <w:rFonts w:ascii="Adobe Garamond Pro" w:hAnsi="Adobe Garamond Pro" w:cs="Arial"/>
          <w:sz w:val="22"/>
          <w:szCs w:val="22"/>
          <w:lang w:val="en-US"/>
        </w:rPr>
        <w:t xml:space="preserve">. Setelah itu dirumuskan ke dalam beberapa poin pencarian yang terdiri dari </w:t>
      </w:r>
      <w:r w:rsidR="001735CC" w:rsidRPr="004531A9">
        <w:rPr>
          <w:rFonts w:ascii="Adobe Garamond Pro" w:hAnsi="Adobe Garamond Pro" w:cs="Arial"/>
          <w:i/>
          <w:iCs/>
          <w:sz w:val="22"/>
          <w:szCs w:val="22"/>
          <w:lang w:val="en-US"/>
        </w:rPr>
        <w:t>palm oil, Deforestation, Sustainability Reporting, Environmental Audit</w:t>
      </w:r>
      <w:r w:rsidR="001735CC" w:rsidRPr="004531A9">
        <w:rPr>
          <w:rFonts w:ascii="Adobe Garamond Pro" w:hAnsi="Adobe Garamond Pro" w:cs="Arial"/>
          <w:sz w:val="22"/>
          <w:szCs w:val="22"/>
          <w:lang w:val="en-US"/>
        </w:rPr>
        <w:t xml:space="preserve">. Pemilihan artikel berdasarkan kata kunci utama ini dilakukan untuk memastikan tingkat relevansi dan bukti komprehensif yang merepresentasikan keterkaitan antara praktik keberlanjutan, mekanisme dan kebijakan lingkungan, serta pengawasan, dengan kondisi lingkungan secara nyata pada industri kelapa sawit. </w:t>
      </w:r>
    </w:p>
    <w:p w14:paraId="10FA528C" w14:textId="285B9A82" w:rsidR="002E5457" w:rsidRPr="00AD4153" w:rsidRDefault="001735CC" w:rsidP="00AD4153">
      <w:pPr>
        <w:pStyle w:val="BodyText"/>
        <w:spacing w:before="1" w:line="360" w:lineRule="auto"/>
        <w:ind w:left="0" w:right="49" w:firstLine="567"/>
        <w:rPr>
          <w:rFonts w:ascii="Adobe Garamond Pro" w:hAnsi="Adobe Garamond Pro" w:cs="Arial"/>
          <w:sz w:val="22"/>
          <w:szCs w:val="22"/>
        </w:rPr>
      </w:pPr>
      <w:r w:rsidRPr="004531A9">
        <w:rPr>
          <w:rFonts w:ascii="Adobe Garamond Pro" w:hAnsi="Adobe Garamond Pro" w:cs="Arial"/>
          <w:sz w:val="22"/>
          <w:szCs w:val="22"/>
          <w:lang w:val="en-US"/>
        </w:rPr>
        <w:t xml:space="preserve">Dalam literatur ini rentang waktu penelitian relatif luas, yakni tahun 2007 sampai 2025. Penetapan waktu yang luas ditujukan untuk melihat dinamika dan pergeseran paradigma pelaporan keberlanjutan, yang semula bersifat sukarela menjadi semakin ketat, termasuk penerapan </w:t>
      </w:r>
      <w:r w:rsidR="002E5457" w:rsidRPr="004531A9">
        <w:rPr>
          <w:rFonts w:ascii="Adobe Garamond Pro" w:hAnsi="Adobe Garamond Pro" w:cs="Arial"/>
          <w:sz w:val="22"/>
          <w:szCs w:val="22"/>
          <w:lang w:val="en-US"/>
        </w:rPr>
        <w:t xml:space="preserve">berbagai kebijakan lingkungan dan keberlanjutan yang baru. </w:t>
      </w:r>
      <w:r w:rsidR="002E5457" w:rsidRPr="004531A9">
        <w:rPr>
          <w:rFonts w:ascii="Adobe Garamond Pro" w:hAnsi="Adobe Garamond Pro" w:cs="Arial"/>
          <w:sz w:val="22"/>
          <w:szCs w:val="22"/>
        </w:rPr>
        <w:fldChar w:fldCharType="begin" w:fldLock="1"/>
      </w:r>
      <w:r w:rsidR="002E5457" w:rsidRPr="004531A9">
        <w:rPr>
          <w:rFonts w:ascii="Adobe Garamond Pro" w:hAnsi="Adobe Garamond Pro" w:cs="Arial"/>
          <w:sz w:val="22"/>
          <w:szCs w:val="22"/>
        </w:rPr>
        <w:instrText>ADDIN CSL_CITATION {"citationItems":[{"id":"ITEM-1","itemData":{"ISSN":"0148-2963","author":[{"dropping-particle":"","family":"Snyder","given":"Hannah","non-dropping-particle":"","parse-names":false,"suffix":""}],"container-title":"Journal of business research","id":"ITEM-1","issued":{"date-parts":[["2019"]]},"page":"333-339","publisher":"Elsevier","title":"Literature review as a research methodology: An overview and guidelines","type":"article-journal","volume":"104"},"uris":["http://www.mendeley.com/documents/?uuid=1c578717-6959-40b4-98fd-f20791fe7cc0"]}],"mendeley":{"formattedCitation":"(Snyder, 2019)","manualFormatting":"Snyder (2019)","plainTextFormattedCitation":"(Snyder, 2019)","previouslyFormattedCitation":"(Snyder, 2019)"},"properties":{"noteIndex":0},"schema":"https://github.com/citation-style-language/schema/raw/master/csl-citation.json"}</w:instrText>
      </w:r>
      <w:r w:rsidR="002E5457" w:rsidRPr="004531A9">
        <w:rPr>
          <w:rFonts w:ascii="Adobe Garamond Pro" w:hAnsi="Adobe Garamond Pro" w:cs="Arial"/>
          <w:sz w:val="22"/>
          <w:szCs w:val="22"/>
        </w:rPr>
        <w:fldChar w:fldCharType="separate"/>
      </w:r>
      <w:r w:rsidR="002E5457" w:rsidRPr="004531A9">
        <w:rPr>
          <w:rFonts w:ascii="Adobe Garamond Pro" w:hAnsi="Adobe Garamond Pro" w:cs="Arial"/>
          <w:noProof/>
          <w:sz w:val="22"/>
          <w:szCs w:val="22"/>
        </w:rPr>
        <w:t>Snyder (2019)</w:t>
      </w:r>
      <w:r w:rsidR="002E5457" w:rsidRPr="004531A9">
        <w:rPr>
          <w:rFonts w:ascii="Adobe Garamond Pro" w:hAnsi="Adobe Garamond Pro" w:cs="Arial"/>
          <w:sz w:val="22"/>
          <w:szCs w:val="22"/>
        </w:rPr>
        <w:fldChar w:fldCharType="end"/>
      </w:r>
      <w:r w:rsidR="002E5457" w:rsidRPr="004531A9">
        <w:rPr>
          <w:rFonts w:ascii="Adobe Garamond Pro" w:hAnsi="Adobe Garamond Pro" w:cs="Arial"/>
          <w:sz w:val="22"/>
          <w:szCs w:val="22"/>
        </w:rPr>
        <w:t xml:space="preserve"> menekankan pentingnya analisa literatur yang komprehensif guna menurunkan tingkat bias dan meningkatkan validitas kesimpulan penelitian. Dari data temuan awal, literatur ini memproses lebih lanjut dan memilah berdasarkan judul, abstrak, hingga evaluasi penuh dengan mengacu pada kriteria yang sudah ditetapkan. </w:t>
      </w:r>
    </w:p>
    <w:p w14:paraId="3132EE06" w14:textId="44B4BDBF" w:rsidR="002E5457" w:rsidRPr="00496205" w:rsidRDefault="00CB2623" w:rsidP="00691E7B">
      <w:pPr>
        <w:pStyle w:val="ListParagraph"/>
        <w:numPr>
          <w:ilvl w:val="0"/>
          <w:numId w:val="8"/>
        </w:numPr>
        <w:tabs>
          <w:tab w:val="left" w:pos="360"/>
        </w:tabs>
        <w:suppressAutoHyphens/>
        <w:spacing w:after="0" w:line="360" w:lineRule="auto"/>
        <w:ind w:left="567" w:hanging="567"/>
        <w:contextualSpacing w:val="0"/>
        <w:jc w:val="both"/>
        <w:rPr>
          <w:rFonts w:ascii="Arial" w:hAnsi="Arial" w:cs="Arial"/>
          <w:bCs/>
          <w:i/>
          <w:iCs/>
          <w:color w:val="EE0000"/>
        </w:rPr>
      </w:pPr>
      <w:r>
        <w:rPr>
          <w:rFonts w:ascii="Arial" w:hAnsi="Arial" w:cs="Arial"/>
          <w:bCs/>
          <w:i/>
          <w:iCs/>
          <w:color w:val="C45911" w:themeColor="accent2" w:themeShade="BF"/>
        </w:rPr>
        <w:t>Teknik Analisis</w:t>
      </w:r>
    </w:p>
    <w:p w14:paraId="75F26FB6" w14:textId="20884F6C" w:rsidR="00CB2623" w:rsidRPr="00AD4153" w:rsidRDefault="002E5457" w:rsidP="00691E7B">
      <w:pPr>
        <w:pStyle w:val="BodyText"/>
        <w:spacing w:before="1" w:line="360" w:lineRule="auto"/>
        <w:ind w:left="0" w:right="49"/>
        <w:rPr>
          <w:rFonts w:ascii="Arial" w:hAnsi="Arial" w:cs="Arial"/>
          <w:lang w:val="en-US"/>
        </w:rPr>
      </w:pPr>
      <w:r w:rsidRPr="004531A9">
        <w:rPr>
          <w:rFonts w:ascii="Adobe Garamond Pro" w:hAnsi="Adobe Garamond Pro" w:cs="Arial"/>
          <w:sz w:val="22"/>
          <w:szCs w:val="22"/>
          <w:lang w:val="en-US"/>
        </w:rPr>
        <w:t>Analisa data dalam literatur ini menggunakan pendekatan ganda (</w:t>
      </w:r>
      <w:r w:rsidRPr="004531A9">
        <w:rPr>
          <w:rFonts w:ascii="Adobe Garamond Pro" w:hAnsi="Adobe Garamond Pro" w:cs="Arial"/>
          <w:i/>
          <w:iCs/>
          <w:sz w:val="22"/>
          <w:szCs w:val="22"/>
          <w:lang w:val="en-US"/>
        </w:rPr>
        <w:t>moxed analytical approach</w:t>
      </w:r>
      <w:r w:rsidRPr="004531A9">
        <w:rPr>
          <w:rFonts w:ascii="Adobe Garamond Pro" w:hAnsi="Adobe Garamond Pro" w:cs="Arial"/>
          <w:sz w:val="22"/>
          <w:szCs w:val="22"/>
          <w:lang w:val="en-US"/>
        </w:rPr>
        <w:t xml:space="preserve">), dengan mengintegrasikan metode kuantitatif dan kualitatif guna menghasilkan pemahaman yang rinci akan fenomena yang menjadi fokus kajian. </w:t>
      </w:r>
      <w:r w:rsidR="004531A9" w:rsidRPr="004531A9">
        <w:rPr>
          <w:rFonts w:ascii="Adobe Garamond Pro" w:hAnsi="Adobe Garamond Pro" w:cs="Arial"/>
          <w:sz w:val="22"/>
          <w:szCs w:val="22"/>
          <w:lang w:val="en-US"/>
        </w:rPr>
        <w:t xml:space="preserve">Tahap awal dilakukan analisis bibliometrik guna memetakan struktur dan dinamika literatur secara sistematis, mencakup trend pertumbuhan publikasi tahunan dan distribusi artikel berdasarkan kualitas, yang direpresentasikan berdasarkan tingkat indeks. Hal ini dilakukan untuk mengidentifikasi intensitas dan pola penelitian pada akademisi global dalam menyikapi isu deforestasi akibat ekspansi industri kelapa sawit dalam konteks kerangka akuntansi lingkungan dan pelaporan keberlanjutan </w:t>
      </w:r>
      <w:r w:rsidR="004531A9" w:rsidRPr="004531A9">
        <w:rPr>
          <w:rFonts w:ascii="Adobe Garamond Pro" w:hAnsi="Adobe Garamond Pro" w:cs="Arial"/>
          <w:sz w:val="22"/>
          <w:szCs w:val="22"/>
          <w:lang w:val="en-US"/>
        </w:rPr>
        <w:fldChar w:fldCharType="begin" w:fldLock="1"/>
      </w:r>
      <w:r w:rsidR="004531A9" w:rsidRPr="004531A9">
        <w:rPr>
          <w:rFonts w:ascii="Adobe Garamond Pro" w:hAnsi="Adobe Garamond Pro" w:cs="Arial"/>
          <w:sz w:val="22"/>
          <w:szCs w:val="22"/>
          <w:lang w:val="en-US"/>
        </w:rPr>
        <w:instrText>ADDIN CSL_CITATION {"citationItems":[{"id":"ITEM-1","itemData":{"ISSN":"2654-8216","author":[{"dropping-particle":"","family":"Pardede","given":"Mazmur","non-dropping-particle":"","parse-names":false,"suffix":""}],"container-title":"Jurakunman (Jurnal Akuntansi dan Manajemen)","id":"ITEM-1","issue":"2","issued":{"date-parts":[["2024"]]},"page":"166-176","title":"FINANCIAL PERFORMANCE ANALYSIS USING DU PONT AT PT. ADARO ENERGI INDONESIA Tbk PERIOD 2019-2023","type":"article-journal","volume":"17"},"uris":["http://www.mendeley.com/documents/?uuid=553e7990-bb94-4072-a9b4-fe630c17aa9e"]}],"mendeley":{"formattedCitation":"(Pardede, 2024)","plainTextFormattedCitation":"(Pardede, 2024)","previouslyFormattedCitation":"(Pardede, 2024)"},"properties":{"noteIndex":0},"schema":"https://github.com/citation-style-language/schema/raw/master/csl-citation.json"}</w:instrText>
      </w:r>
      <w:r w:rsidR="004531A9" w:rsidRPr="004531A9">
        <w:rPr>
          <w:rFonts w:ascii="Adobe Garamond Pro" w:hAnsi="Adobe Garamond Pro" w:cs="Arial"/>
          <w:sz w:val="22"/>
          <w:szCs w:val="22"/>
          <w:lang w:val="en-US"/>
        </w:rPr>
        <w:fldChar w:fldCharType="separate"/>
      </w:r>
      <w:r w:rsidR="004531A9" w:rsidRPr="004531A9">
        <w:rPr>
          <w:rFonts w:ascii="Adobe Garamond Pro" w:hAnsi="Adobe Garamond Pro" w:cs="Arial"/>
          <w:noProof/>
          <w:sz w:val="22"/>
          <w:szCs w:val="22"/>
          <w:lang w:val="en-US"/>
        </w:rPr>
        <w:t>(Pardede, 2024)</w:t>
      </w:r>
      <w:r w:rsidR="004531A9" w:rsidRPr="004531A9">
        <w:rPr>
          <w:rFonts w:ascii="Adobe Garamond Pro" w:hAnsi="Adobe Garamond Pro" w:cs="Arial"/>
          <w:sz w:val="22"/>
          <w:szCs w:val="22"/>
          <w:lang w:val="en-US"/>
        </w:rPr>
        <w:fldChar w:fldCharType="end"/>
      </w:r>
      <w:r w:rsidR="004531A9" w:rsidRPr="004531A9">
        <w:rPr>
          <w:rFonts w:ascii="Arial" w:hAnsi="Arial" w:cs="Arial"/>
          <w:lang w:val="en-US"/>
        </w:rPr>
        <w:t>.</w:t>
      </w:r>
      <w:r w:rsidR="004531A9">
        <w:rPr>
          <w:rFonts w:ascii="Arial" w:hAnsi="Arial" w:cs="Arial"/>
          <w:lang w:val="en-US"/>
        </w:rPr>
        <w:t xml:space="preserve"> </w:t>
      </w:r>
    </w:p>
    <w:p w14:paraId="243BDC39" w14:textId="766F6D26" w:rsidR="002B50D8" w:rsidRPr="00CB2623" w:rsidRDefault="004531A9" w:rsidP="00AD4153">
      <w:pPr>
        <w:pStyle w:val="BodyText"/>
        <w:spacing w:before="1" w:line="360" w:lineRule="auto"/>
        <w:ind w:left="0" w:right="49" w:firstLine="567"/>
        <w:rPr>
          <w:rFonts w:ascii="Adobe Garamond Pro" w:hAnsi="Adobe Garamond Pro" w:cstheme="majorHAnsi"/>
          <w:sz w:val="22"/>
          <w:szCs w:val="22"/>
          <w:lang w:val="en-US"/>
        </w:rPr>
      </w:pPr>
      <w:r w:rsidRPr="00CB2623">
        <w:rPr>
          <w:rFonts w:ascii="Adobe Garamond Pro" w:hAnsi="Adobe Garamond Pro" w:cstheme="majorHAnsi"/>
          <w:sz w:val="22"/>
          <w:szCs w:val="22"/>
          <w:lang w:val="en-US"/>
        </w:rPr>
        <w:t xml:space="preserve">Literatur ini juga menerapkan pendekatan sintesis naratif untuk mengekstraksi dan mengintegrasikan substansi kualitatif dari artikel yang dikumpulkan dengan menggunakan teknik kodifikasi tematik. Dalam </w:t>
      </w:r>
      <w:r w:rsidRPr="00CB2623">
        <w:rPr>
          <w:rFonts w:ascii="Adobe Garamond Pro" w:hAnsi="Adobe Garamond Pro" w:cstheme="majorHAnsi"/>
          <w:sz w:val="22"/>
          <w:szCs w:val="22"/>
          <w:lang w:val="en-US"/>
        </w:rPr>
        <w:lastRenderedPageBreak/>
        <w:t xml:space="preserve">tahap sintesis tidak sebatas meringkas temuan empiris, tetapi lebih fokus pada analisa kritis terhadap argumentasi konseptual dan empiris yang menjadi tolok ukur efektivitas audit lingkungan serta mekanisme pendeteksian praktik </w:t>
      </w:r>
      <w:r w:rsidRPr="00CB2623">
        <w:rPr>
          <w:rFonts w:ascii="Adobe Garamond Pro" w:hAnsi="Adobe Garamond Pro" w:cstheme="majorHAnsi"/>
          <w:i/>
          <w:iCs/>
          <w:sz w:val="22"/>
          <w:szCs w:val="22"/>
          <w:lang w:val="en-US"/>
        </w:rPr>
        <w:t>greenwashing</w:t>
      </w:r>
      <w:r w:rsidRPr="00CB2623">
        <w:rPr>
          <w:rFonts w:ascii="Adobe Garamond Pro" w:hAnsi="Adobe Garamond Pro" w:cstheme="majorHAnsi"/>
          <w:sz w:val="22"/>
          <w:szCs w:val="22"/>
          <w:lang w:val="en-US"/>
        </w:rPr>
        <w:t xml:space="preserve">. Dengan pendekatan ini, gap antara narasi keberlanjutan dan kondisi lingkungan secara nyata dapat diidentifikasi dan dianalisis secara mendalam. </w:t>
      </w:r>
      <w:r w:rsidR="00CB2623" w:rsidRPr="00CB2623">
        <w:rPr>
          <w:rFonts w:ascii="Adobe Garamond Pro" w:hAnsi="Adobe Garamond Pro" w:cstheme="majorHAnsi"/>
          <w:sz w:val="22"/>
          <w:szCs w:val="22"/>
          <w:lang w:val="en-US"/>
        </w:rPr>
        <w:t xml:space="preserve">Hal ini selaras dengan </w:t>
      </w:r>
      <w:r w:rsidRPr="00CB2623">
        <w:rPr>
          <w:rFonts w:ascii="Adobe Garamond Pro" w:hAnsi="Adobe Garamond Pro" w:cstheme="majorHAnsi"/>
          <w:sz w:val="22"/>
          <w:szCs w:val="22"/>
          <w:lang w:val="en-US"/>
        </w:rPr>
        <w:t>kerangka teori modernisasi ekologis yang menekankan peran sentral transparansi dan kualitas informasi dalam mendorong perbaikan kinerja lingkungan perusahaan</w:t>
      </w:r>
      <w:r w:rsidR="00CB2623" w:rsidRPr="00CB2623">
        <w:rPr>
          <w:rFonts w:ascii="Adobe Garamond Pro" w:hAnsi="Adobe Garamond Pro" w:cstheme="majorHAnsi"/>
          <w:sz w:val="22"/>
          <w:szCs w:val="22"/>
          <w:lang w:val="en-US"/>
        </w:rPr>
        <w:t xml:space="preserve"> </w:t>
      </w:r>
      <w:r w:rsidR="00CB2623" w:rsidRPr="00CB2623">
        <w:rPr>
          <w:rFonts w:ascii="Adobe Garamond Pro" w:hAnsi="Adobe Garamond Pro" w:cstheme="majorHAnsi"/>
          <w:sz w:val="22"/>
          <w:szCs w:val="22"/>
          <w:lang w:val="en-US"/>
        </w:rPr>
        <w:fldChar w:fldCharType="begin" w:fldLock="1"/>
      </w:r>
      <w:r w:rsidR="00CB2623" w:rsidRPr="00CB2623">
        <w:rPr>
          <w:rFonts w:ascii="Adobe Garamond Pro" w:hAnsi="Adobe Garamond Pro" w:cstheme="majorHAnsi"/>
          <w:sz w:val="22"/>
          <w:szCs w:val="22"/>
          <w:lang w:val="en-US"/>
        </w:rPr>
        <w:instrText>ADDIN CSL_CITATION {"citationItems":[{"id":"ITEM-1","itemData":{"ISBN":"1803921048","author":[{"dropping-particle":"","family":"Bush","given":"Simon R","non-dropping-particle":"","parse-names":false,"suffix":""},{"dropping-particle":"","family":"Spaargaren","given":"Gert","non-dropping-particle":"","parse-names":false,"suffix":""}],"container-title":"Elgar Encyclopedia of Environmental Sociology","id":"ITEM-1","issued":{"date-parts":[["2024"]]},"page":"183-188","publisher":"Edward Elgar Publishing","title":"Ecological modernization theory","type":"chapter"},"uris":["http://www.mendeley.com/documents/?uuid=6a617714-5865-4dc1-8b64-2bb2e5c21078"]},{"id":"ITEM-2","itemData":{"ISSN":"1086-0266","author":[{"dropping-particle":"","family":"York","given":"Richard","non-dropping-particle":"","parse-names":false,"suffix":""},{"dropping-particle":"","family":"Rosa","given":"Eugene A","non-dropping-particle":"","parse-names":false,"suffix":""}],"container-title":"Organization &amp; Environment","id":"ITEM-2","issue":"3","issued":{"date-parts":[["2003"]]},"page":"273-288","publisher":"Sage Publications","title":"Key challenges to ecological modernization theory: Institutional efficacy, case study evidence, units of analysis, and the pace of eco-efficiency","type":"article-journal","volume":"16"},"uris":["http://www.mendeley.com/documents/?uuid=a30645f6-29ae-4d87-94e2-6465d1cf7a8e"]}],"mendeley":{"formattedCitation":"(Bush &amp; Spaargaren, 2024; York &amp; Rosa, 2003)","manualFormatting":"(Bush &amp; Spaargaren, 2024, York &amp; Rosa, 2003)","plainTextFormattedCitation":"(Bush &amp; Spaargaren, 2024; York &amp; Rosa, 2003)","previouslyFormattedCitation":"(Bush &amp; Spaargaren, 2024; York &amp; Rosa, 2003)"},"properties":{"noteIndex":0},"schema":"https://github.com/citation-style-language/schema/raw/master/csl-citation.json"}</w:instrText>
      </w:r>
      <w:r w:rsidR="00CB2623" w:rsidRPr="00CB2623">
        <w:rPr>
          <w:rFonts w:ascii="Adobe Garamond Pro" w:hAnsi="Adobe Garamond Pro" w:cstheme="majorHAnsi"/>
          <w:sz w:val="22"/>
          <w:szCs w:val="22"/>
          <w:lang w:val="en-US"/>
        </w:rPr>
        <w:fldChar w:fldCharType="separate"/>
      </w:r>
      <w:r w:rsidR="00CB2623" w:rsidRPr="00CB2623">
        <w:rPr>
          <w:rFonts w:ascii="Adobe Garamond Pro" w:hAnsi="Adobe Garamond Pro" w:cstheme="majorHAnsi"/>
          <w:noProof/>
          <w:sz w:val="22"/>
          <w:szCs w:val="22"/>
          <w:lang w:val="en-US"/>
        </w:rPr>
        <w:t>( York &amp; Rosa, 2003)</w:t>
      </w:r>
      <w:r w:rsidR="00CB2623" w:rsidRPr="00CB2623">
        <w:rPr>
          <w:rFonts w:ascii="Adobe Garamond Pro" w:hAnsi="Adobe Garamond Pro" w:cstheme="majorHAnsi"/>
          <w:sz w:val="22"/>
          <w:szCs w:val="22"/>
          <w:lang w:val="en-US"/>
        </w:rPr>
        <w:fldChar w:fldCharType="end"/>
      </w:r>
      <w:r w:rsidR="00CB2623" w:rsidRPr="00CB2623">
        <w:rPr>
          <w:rFonts w:ascii="Adobe Garamond Pro" w:hAnsi="Adobe Garamond Pro" w:cstheme="majorHAnsi"/>
          <w:sz w:val="22"/>
          <w:szCs w:val="22"/>
          <w:lang w:val="en-US"/>
        </w:rPr>
        <w:t>.</w:t>
      </w:r>
      <w:bookmarkEnd w:id="0"/>
    </w:p>
    <w:p w14:paraId="3458E251" w14:textId="77777777" w:rsidR="002B50D8" w:rsidRDefault="002B50D8" w:rsidP="00691E7B">
      <w:pPr>
        <w:tabs>
          <w:tab w:val="left" w:pos="0"/>
        </w:tabs>
        <w:suppressAutoHyphens/>
        <w:spacing w:after="0" w:line="360" w:lineRule="auto"/>
        <w:jc w:val="both"/>
        <w:rPr>
          <w:rFonts w:ascii="Arial" w:hAnsi="Arial" w:cs="Arial"/>
          <w:b/>
          <w:color w:val="2E74B5" w:themeColor="accent1" w:themeShade="BF"/>
        </w:rPr>
      </w:pPr>
    </w:p>
    <w:p w14:paraId="2D88E5A2" w14:textId="6B2A4094" w:rsidR="00CB2623" w:rsidRPr="00E17944" w:rsidRDefault="00EC0A0F" w:rsidP="00691E7B">
      <w:pPr>
        <w:pStyle w:val="ListParagraph"/>
        <w:numPr>
          <w:ilvl w:val="0"/>
          <w:numId w:val="2"/>
        </w:numPr>
        <w:tabs>
          <w:tab w:val="left" w:pos="0"/>
          <w:tab w:val="left" w:pos="360"/>
        </w:tabs>
        <w:suppressAutoHyphens/>
        <w:spacing w:after="0" w:line="360" w:lineRule="auto"/>
        <w:ind w:left="567" w:hanging="567"/>
        <w:jc w:val="both"/>
        <w:rPr>
          <w:rFonts w:ascii="Arial" w:hAnsi="Arial" w:cs="Arial"/>
          <w:b/>
          <w:color w:val="2E74B5" w:themeColor="accent1" w:themeShade="BF"/>
        </w:rPr>
      </w:pPr>
      <w:r>
        <w:rPr>
          <w:rFonts w:ascii="Arial" w:hAnsi="Arial" w:cs="Arial"/>
          <w:b/>
          <w:color w:val="0070C0"/>
        </w:rPr>
        <w:t>HASIL DAN PEMBAHASAN</w:t>
      </w:r>
    </w:p>
    <w:p w14:paraId="0CD17E59" w14:textId="4D0D6CB4" w:rsidR="00CB2623" w:rsidRPr="00DA0228" w:rsidRDefault="00B7232A" w:rsidP="00691E7B">
      <w:pPr>
        <w:pStyle w:val="ListParagraph"/>
        <w:numPr>
          <w:ilvl w:val="0"/>
          <w:numId w:val="10"/>
        </w:numPr>
        <w:tabs>
          <w:tab w:val="left" w:pos="0"/>
          <w:tab w:val="left" w:pos="360"/>
        </w:tabs>
        <w:suppressAutoHyphens/>
        <w:spacing w:after="0" w:line="360" w:lineRule="auto"/>
        <w:ind w:left="567" w:hanging="567"/>
        <w:jc w:val="both"/>
        <w:rPr>
          <w:rFonts w:ascii="Arial" w:hAnsi="Arial" w:cs="Arial"/>
          <w:bCs/>
          <w:i/>
          <w:iCs/>
          <w:color w:val="C45911" w:themeColor="accent2" w:themeShade="BF"/>
        </w:rPr>
      </w:pPr>
      <w:r w:rsidRPr="00DA0228">
        <w:rPr>
          <w:rFonts w:ascii="Arial" w:hAnsi="Arial" w:cs="Arial"/>
          <w:bCs/>
          <w:i/>
          <w:iCs/>
          <w:color w:val="C45911" w:themeColor="accent2" w:themeShade="BF"/>
        </w:rPr>
        <w:t>Analisis Bibliometrik dan Evolosi Penelitian</w:t>
      </w:r>
    </w:p>
    <w:p w14:paraId="0F56CED0" w14:textId="6A141C23" w:rsidR="00CB2623" w:rsidRDefault="00CB2623" w:rsidP="00691E7B">
      <w:pPr>
        <w:pStyle w:val="BodyText"/>
        <w:spacing w:line="360" w:lineRule="auto"/>
        <w:ind w:left="0" w:right="49"/>
        <w:rPr>
          <w:rFonts w:ascii="Adobe Garamond Pro" w:hAnsi="Adobe Garamond Pro"/>
          <w:sz w:val="22"/>
          <w:szCs w:val="22"/>
          <w:lang w:val="en-US"/>
        </w:rPr>
      </w:pPr>
      <w:bookmarkStart w:id="1" w:name="_Hlk217646255"/>
      <w:r w:rsidRPr="00CB2623">
        <w:rPr>
          <w:rFonts w:ascii="Adobe Garamond Pro" w:hAnsi="Adobe Garamond Pro"/>
          <w:sz w:val="22"/>
          <w:szCs w:val="22"/>
          <w:lang w:val="en-US"/>
        </w:rPr>
        <w:t xml:space="preserve">Sebanyak 87 dari 168 artikel tentang </w:t>
      </w:r>
      <w:r w:rsidRPr="00CB2623">
        <w:rPr>
          <w:rFonts w:ascii="Adobe Garamond Pro" w:hAnsi="Adobe Garamond Pro"/>
          <w:i/>
          <w:iCs/>
          <w:sz w:val="22"/>
          <w:szCs w:val="22"/>
          <w:lang w:val="en-US"/>
        </w:rPr>
        <w:t>sustainability, palm oil, deforestation</w:t>
      </w:r>
      <w:r w:rsidRPr="00CB2623">
        <w:rPr>
          <w:rFonts w:ascii="Adobe Garamond Pro" w:hAnsi="Adobe Garamond Pro"/>
          <w:sz w:val="22"/>
          <w:szCs w:val="22"/>
          <w:lang w:val="en-US"/>
        </w:rPr>
        <w:t xml:space="preserve"> yang dikumpulkan dari situs jurnal ilmiah internasional bereputasi. Artikel yang menjadi sampel literatur review dipilah berdasarkan reputasi akademis, di mana semua artikel berasal dari penerbit global terkemuka seperti Elsevier, Springer, Wiley, MDPI, dan Emerald yang terindeks dalam basis data Scopus (Q1–Q4). Relevansi tematik, dengan memahami trend publikasi dan perkembangan kebijakan melalui artikel-artikel yang khusus mengkaji dimensi pelaporan keberlanjutan sekaligus mempertimbangkan aspek tata kelola perusahaan sebagai bentuk akuntabilitas pelaporan informasi </w:t>
      </w:r>
      <w:r w:rsidRPr="00CB2623">
        <w:rPr>
          <w:rFonts w:ascii="Adobe Garamond Pro" w:hAnsi="Adobe Garamond Pro"/>
          <w:sz w:val="22"/>
          <w:szCs w:val="22"/>
          <w:lang w:val="en-US"/>
        </w:rPr>
        <w:fldChar w:fldCharType="begin" w:fldLock="1"/>
      </w:r>
      <w:r w:rsidRPr="00CB2623">
        <w:rPr>
          <w:rFonts w:ascii="Adobe Garamond Pro" w:hAnsi="Adobe Garamond Pro"/>
          <w:sz w:val="22"/>
          <w:szCs w:val="22"/>
          <w:lang w:val="en-US"/>
        </w:rPr>
        <w:instrText>ADDIN CSL_CITATION {"citationItems":[{"id":"ITEM-1","itemData":{"ISSN":"2654-8216","author":[{"dropping-particle":"","family":"Pardede","given":"Mazmur","non-dropping-particle":"","parse-names":false,"suffix":""}],"container-title":"Jurakunman (Jurnal Akuntansi dan Manajemen)","id":"ITEM-1","issue":"2","issued":{"date-parts":[["2023"]]},"page":"281-298","title":"CORPORATE GOVERNANCE, CORPORATE SOCIAL RESPONSIBILITY, AND FIRM RISK: THE CASE OF INDONESIAN-LISTED FIRMS","type":"article-journal","volume":"16"},"uris":["http://www.mendeley.com/documents/?uuid=e7de7bb3-8e8f-42a3-b28e-85ec83b83aa9"]}],"mendeley":{"formattedCitation":"(Pardede, 2023)","plainTextFormattedCitation":"(Pardede, 2023)"},"properties":{"noteIndex":0},"schema":"https://github.com/citation-style-language/schema/raw/master/csl-citation.json"}</w:instrText>
      </w:r>
      <w:r w:rsidRPr="00CB2623">
        <w:rPr>
          <w:rFonts w:ascii="Adobe Garamond Pro" w:hAnsi="Adobe Garamond Pro"/>
          <w:sz w:val="22"/>
          <w:szCs w:val="22"/>
          <w:lang w:val="en-US"/>
        </w:rPr>
        <w:fldChar w:fldCharType="separate"/>
      </w:r>
      <w:r w:rsidRPr="00CB2623">
        <w:rPr>
          <w:rFonts w:ascii="Adobe Garamond Pro" w:hAnsi="Adobe Garamond Pro"/>
          <w:noProof/>
          <w:sz w:val="22"/>
          <w:szCs w:val="22"/>
          <w:lang w:val="en-US"/>
        </w:rPr>
        <w:t>(Pardede, 2023)</w:t>
      </w:r>
      <w:r w:rsidRPr="00CB2623">
        <w:rPr>
          <w:rFonts w:ascii="Adobe Garamond Pro" w:hAnsi="Adobe Garamond Pro"/>
          <w:sz w:val="22"/>
          <w:szCs w:val="22"/>
          <w:lang w:val="en-US"/>
        </w:rPr>
        <w:fldChar w:fldCharType="end"/>
      </w:r>
      <w:r w:rsidRPr="00CB2623">
        <w:rPr>
          <w:rFonts w:ascii="Adobe Garamond Pro" w:hAnsi="Adobe Garamond Pro"/>
          <w:sz w:val="22"/>
          <w:szCs w:val="22"/>
          <w:lang w:val="en-US"/>
        </w:rPr>
        <w:t xml:space="preserve">, kepatuhan sertifikasi (RSPO/ISPO) pada industri kelapa sawit, serta aktualitas yang memetakan dinamika deforestasi dari waktu ke waktu. Artikel yang tidak sesuai dengan kriteria sampel dieliminasi dan tidak dimasukkan ke dalam daftar sampel. Total sebanyak 81 artikel tidak dapat dijadikan sampel karena sebagian besar berasal dari sumber yang tidak bereputasi sehingga dinilai dapat mengurangi kualitas argumen ilmiah. Selain itu, banyak artikel yang dikecualikan memiliki fokus teknis-laboratorium yang terlalu spesifik, seperti isolasi mikroba atau rekayasa mesin biodiesel yang tidak memiliki korelasi langsung dengan pelaporan keberlanjutan. </w:t>
      </w:r>
    </w:p>
    <w:p w14:paraId="1B3C520C" w14:textId="011A77D8" w:rsidR="00CB2623" w:rsidRDefault="00CB2623" w:rsidP="008B5AE7">
      <w:pPr>
        <w:pStyle w:val="BodyText"/>
        <w:spacing w:line="360" w:lineRule="auto"/>
        <w:ind w:left="0" w:right="49" w:firstLine="720"/>
        <w:rPr>
          <w:rFonts w:ascii="Adobe Garamond Pro" w:hAnsi="Adobe Garamond Pro"/>
          <w:sz w:val="22"/>
          <w:szCs w:val="22"/>
          <w:lang w:val="en-US"/>
        </w:rPr>
      </w:pPr>
      <w:bookmarkStart w:id="2" w:name="_Hlk217646291"/>
      <w:bookmarkEnd w:id="1"/>
      <w:r w:rsidRPr="00CB2623">
        <w:rPr>
          <w:rFonts w:ascii="Adobe Garamond Pro" w:hAnsi="Adobe Garamond Pro"/>
          <w:sz w:val="22"/>
          <w:szCs w:val="22"/>
          <w:lang w:val="en-US"/>
        </w:rPr>
        <w:t xml:space="preserve">Sampel akhir untuk penelitian ini disajikan pada tabel 1. Distribusi publikasi dari 87 artikel dari tahun 2007 hingga 2023 disajikan pada gambar 1. Tahun 2023 memiliki jumlah publikasi </w:t>
      </w:r>
      <w:r w:rsidRPr="00CB2623">
        <w:rPr>
          <w:rFonts w:ascii="Adobe Garamond Pro" w:hAnsi="Adobe Garamond Pro"/>
          <w:i/>
          <w:iCs/>
          <w:sz w:val="22"/>
          <w:szCs w:val="22"/>
          <w:lang w:val="en-US"/>
        </w:rPr>
        <w:t>palm oil and deforestation</w:t>
      </w:r>
      <w:r w:rsidRPr="00CB2623">
        <w:rPr>
          <w:rFonts w:ascii="Adobe Garamond Pro" w:hAnsi="Adobe Garamond Pro"/>
          <w:sz w:val="22"/>
          <w:szCs w:val="22"/>
          <w:lang w:val="en-US"/>
        </w:rPr>
        <w:t xml:space="preserve"> terbanyak, yakni 15 artikel. Analisis distribusi tahun publikasi menunjukkan tren pertumbuhan yang signifikan dalam penelitian, yang mencerminkan meningkatnya urgensi global isu keberlanjutan dalam minyak sawit. Pada periode awal (2007–2015), literatur sebagian besar bersifat fundamental, yang berfokus pada konseptualisasi dampak ekologis dan pengembangan awal standar sertifikasi. Selama periode pertengahan (2016–2020), jumlah artikel meningkat secara moderat karena pelaporan non-keuangan menjadi wajib di berbagai yurisdiksi dan komitmen terhadap Tanpa Deforestasi, Tanpa Gambut, dan Tanpa Eksploitasi (NDPE) semakin kuat. </w:t>
      </w:r>
      <w:bookmarkEnd w:id="2"/>
    </w:p>
    <w:p w14:paraId="6640456A" w14:textId="0A60E0AA" w:rsidR="00CB2623" w:rsidRPr="00CB2623" w:rsidRDefault="00CB2623" w:rsidP="008B5AE7">
      <w:pPr>
        <w:pStyle w:val="Caption"/>
        <w:keepNext/>
        <w:spacing w:before="240"/>
        <w:rPr>
          <w:rFonts w:ascii="Adobe Garamond Pro" w:hAnsi="Adobe Garamond Pro" w:cs="Times New Roman"/>
          <w:b/>
          <w:bCs/>
          <w:i w:val="0"/>
          <w:iCs w:val="0"/>
          <w:color w:val="000000" w:themeColor="text1"/>
          <w:sz w:val="20"/>
          <w:szCs w:val="20"/>
        </w:rPr>
      </w:pPr>
      <w:bookmarkStart w:id="3" w:name="_Hlk217435250"/>
      <w:r w:rsidRPr="00CB2623">
        <w:rPr>
          <w:rFonts w:ascii="Adobe Garamond Pro" w:hAnsi="Adobe Garamond Pro" w:cs="Times New Roman"/>
          <w:b/>
          <w:bCs/>
          <w:i w:val="0"/>
          <w:iCs w:val="0"/>
          <w:color w:val="000000" w:themeColor="text1"/>
          <w:sz w:val="20"/>
          <w:szCs w:val="20"/>
        </w:rPr>
        <w:t xml:space="preserve">Table </w:t>
      </w:r>
      <w:r w:rsidRPr="00CB2623">
        <w:rPr>
          <w:rFonts w:ascii="Adobe Garamond Pro" w:hAnsi="Adobe Garamond Pro" w:cs="Times New Roman"/>
          <w:b/>
          <w:bCs/>
          <w:i w:val="0"/>
          <w:iCs w:val="0"/>
          <w:color w:val="000000" w:themeColor="text1"/>
          <w:sz w:val="20"/>
          <w:szCs w:val="20"/>
        </w:rPr>
        <w:fldChar w:fldCharType="begin"/>
      </w:r>
      <w:r w:rsidRPr="00CB2623">
        <w:rPr>
          <w:rFonts w:ascii="Adobe Garamond Pro" w:hAnsi="Adobe Garamond Pro" w:cs="Times New Roman"/>
          <w:b/>
          <w:bCs/>
          <w:i w:val="0"/>
          <w:iCs w:val="0"/>
          <w:color w:val="000000" w:themeColor="text1"/>
          <w:sz w:val="20"/>
          <w:szCs w:val="20"/>
        </w:rPr>
        <w:instrText xml:space="preserve"> SEQ Table \* ARABIC </w:instrText>
      </w:r>
      <w:r w:rsidRPr="00CB2623">
        <w:rPr>
          <w:rFonts w:ascii="Adobe Garamond Pro" w:hAnsi="Adobe Garamond Pro" w:cs="Times New Roman"/>
          <w:b/>
          <w:bCs/>
          <w:i w:val="0"/>
          <w:iCs w:val="0"/>
          <w:color w:val="000000" w:themeColor="text1"/>
          <w:sz w:val="20"/>
          <w:szCs w:val="20"/>
        </w:rPr>
        <w:fldChar w:fldCharType="separate"/>
      </w:r>
      <w:r w:rsidR="00022890">
        <w:rPr>
          <w:rFonts w:ascii="Adobe Garamond Pro" w:hAnsi="Adobe Garamond Pro" w:cs="Times New Roman"/>
          <w:b/>
          <w:bCs/>
          <w:i w:val="0"/>
          <w:iCs w:val="0"/>
          <w:noProof/>
          <w:color w:val="000000" w:themeColor="text1"/>
          <w:sz w:val="20"/>
          <w:szCs w:val="20"/>
        </w:rPr>
        <w:t>1</w:t>
      </w:r>
      <w:r w:rsidRPr="00CB2623">
        <w:rPr>
          <w:rFonts w:ascii="Adobe Garamond Pro" w:hAnsi="Adobe Garamond Pro" w:cs="Times New Roman"/>
          <w:b/>
          <w:bCs/>
          <w:i w:val="0"/>
          <w:iCs w:val="0"/>
          <w:color w:val="000000" w:themeColor="text1"/>
          <w:sz w:val="20"/>
          <w:szCs w:val="20"/>
        </w:rPr>
        <w:fldChar w:fldCharType="end"/>
      </w:r>
      <w:r w:rsidRPr="00CB2623">
        <w:rPr>
          <w:rFonts w:ascii="Adobe Garamond Pro" w:hAnsi="Adobe Garamond Pro" w:cs="Times New Roman"/>
          <w:b/>
          <w:bCs/>
          <w:i w:val="0"/>
          <w:iCs w:val="0"/>
          <w:color w:val="000000" w:themeColor="text1"/>
          <w:sz w:val="20"/>
          <w:szCs w:val="20"/>
        </w:rPr>
        <w:t xml:space="preserve"> </w:t>
      </w:r>
      <w:r w:rsidRPr="008B5AE7">
        <w:rPr>
          <w:rFonts w:ascii="Adobe Garamond Pro" w:hAnsi="Adobe Garamond Pro" w:cs="Times New Roman"/>
          <w:i w:val="0"/>
          <w:iCs w:val="0"/>
          <w:color w:val="000000" w:themeColor="text1"/>
          <w:sz w:val="20"/>
          <w:szCs w:val="20"/>
        </w:rPr>
        <w:t>Pemilihan Sampel Penelitian Palm oil &amp; Deforestation</w:t>
      </w:r>
    </w:p>
    <w:tbl>
      <w:tblPr>
        <w:tblStyle w:val="PlainTable4"/>
        <w:tblW w:w="7523" w:type="dxa"/>
        <w:jc w:val="center"/>
        <w:tblLook w:val="04A0" w:firstRow="1" w:lastRow="0" w:firstColumn="1" w:lastColumn="0" w:noHBand="0" w:noVBand="1"/>
      </w:tblPr>
      <w:tblGrid>
        <w:gridCol w:w="480"/>
        <w:gridCol w:w="5999"/>
        <w:gridCol w:w="437"/>
        <w:gridCol w:w="607"/>
      </w:tblGrid>
      <w:tr w:rsidR="00CB2623" w:rsidRPr="00B333D4" w14:paraId="70CD5FA1" w14:textId="77777777" w:rsidTr="00B333D4">
        <w:trPr>
          <w:cnfStyle w:val="100000000000" w:firstRow="1" w:lastRow="0" w:firstColumn="0" w:lastColumn="0" w:oddVBand="0" w:evenVBand="0" w:oddHBand="0"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480" w:type="dxa"/>
            <w:hideMark/>
          </w:tcPr>
          <w:p w14:paraId="4AB3F0F0" w14:textId="77777777" w:rsidR="00CB2623" w:rsidRPr="00B333D4" w:rsidRDefault="00CB2623" w:rsidP="005D6186">
            <w:pPr>
              <w:spacing w:after="200" w:line="240" w:lineRule="auto"/>
              <w:jc w:val="center"/>
              <w:rPr>
                <w:rFonts w:ascii="Adobe Garamond Pro" w:eastAsia="Times New Roman" w:hAnsi="Adobe Garamond Pro" w:cs="Times New Roman"/>
                <w:b w:val="0"/>
                <w:bCs w:val="0"/>
                <w:color w:val="000000"/>
                <w:sz w:val="16"/>
                <w:szCs w:val="16"/>
              </w:rPr>
            </w:pPr>
            <w:r w:rsidRPr="00B333D4">
              <w:rPr>
                <w:rFonts w:ascii="Adobe Garamond Pro" w:eastAsia="Times New Roman" w:hAnsi="Adobe Garamond Pro" w:cs="Times New Roman"/>
                <w:color w:val="000000"/>
                <w:sz w:val="16"/>
                <w:szCs w:val="16"/>
              </w:rPr>
              <w:t>No</w:t>
            </w:r>
          </w:p>
        </w:tc>
        <w:tc>
          <w:tcPr>
            <w:tcW w:w="5999" w:type="dxa"/>
            <w:hideMark/>
          </w:tcPr>
          <w:p w14:paraId="742F0392" w14:textId="77777777" w:rsidR="00CB2623" w:rsidRPr="00B333D4" w:rsidRDefault="00CB2623"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000000"/>
                <w:sz w:val="16"/>
                <w:szCs w:val="16"/>
              </w:rPr>
            </w:pPr>
            <w:r w:rsidRPr="00B333D4">
              <w:rPr>
                <w:rFonts w:ascii="Adobe Garamond Pro" w:eastAsia="Times New Roman" w:hAnsi="Adobe Garamond Pro" w:cs="Times New Roman"/>
                <w:color w:val="000000"/>
                <w:sz w:val="16"/>
                <w:szCs w:val="16"/>
              </w:rPr>
              <w:t>Kriteria Pemilihan Sampel Penelitian</w:t>
            </w:r>
          </w:p>
        </w:tc>
        <w:tc>
          <w:tcPr>
            <w:tcW w:w="437" w:type="dxa"/>
            <w:hideMark/>
          </w:tcPr>
          <w:p w14:paraId="4AA8F6D1" w14:textId="77777777" w:rsidR="00CB2623" w:rsidRPr="00B333D4" w:rsidRDefault="00CB2623"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000000"/>
                <w:sz w:val="16"/>
                <w:szCs w:val="16"/>
              </w:rPr>
            </w:pPr>
            <w:r w:rsidRPr="00B333D4">
              <w:rPr>
                <w:rFonts w:ascii="Adobe Garamond Pro" w:eastAsia="Times New Roman" w:hAnsi="Adobe Garamond Pro" w:cs="Times New Roman"/>
                <w:color w:val="000000"/>
                <w:sz w:val="16"/>
                <w:szCs w:val="16"/>
              </w:rPr>
              <w:t>N</w:t>
            </w:r>
          </w:p>
        </w:tc>
        <w:tc>
          <w:tcPr>
            <w:tcW w:w="607" w:type="dxa"/>
            <w:hideMark/>
          </w:tcPr>
          <w:p w14:paraId="4F1196A7" w14:textId="77777777" w:rsidR="00CB2623" w:rsidRPr="00B333D4" w:rsidRDefault="00CB2623"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000000"/>
                <w:sz w:val="16"/>
                <w:szCs w:val="16"/>
              </w:rPr>
            </w:pPr>
            <w:r w:rsidRPr="00B333D4">
              <w:rPr>
                <w:rFonts w:ascii="Adobe Garamond Pro" w:eastAsia="Times New Roman" w:hAnsi="Adobe Garamond Pro" w:cs="Times New Roman"/>
                <w:color w:val="000000"/>
                <w:sz w:val="16"/>
                <w:szCs w:val="16"/>
              </w:rPr>
              <w:t>%</w:t>
            </w:r>
          </w:p>
        </w:tc>
      </w:tr>
      <w:tr w:rsidR="00CB2623" w:rsidRPr="00B333D4" w14:paraId="1C8A2728" w14:textId="77777777" w:rsidTr="00B333D4">
        <w:trPr>
          <w:cnfStyle w:val="000000100000" w:firstRow="0" w:lastRow="0" w:firstColumn="0" w:lastColumn="0" w:oddVBand="0" w:evenVBand="0" w:oddHBand="1" w:evenHBand="0" w:firstRowFirstColumn="0" w:firstRowLastColumn="0" w:lastRowFirstColumn="0" w:lastRowLastColumn="0"/>
          <w:trHeight w:val="601"/>
          <w:jc w:val="center"/>
        </w:trPr>
        <w:tc>
          <w:tcPr>
            <w:cnfStyle w:val="001000000000" w:firstRow="0" w:lastRow="0" w:firstColumn="1" w:lastColumn="0" w:oddVBand="0" w:evenVBand="0" w:oddHBand="0" w:evenHBand="0" w:firstRowFirstColumn="0" w:firstRowLastColumn="0" w:lastRowFirstColumn="0" w:lastRowLastColumn="0"/>
            <w:tcW w:w="480" w:type="dxa"/>
            <w:hideMark/>
          </w:tcPr>
          <w:p w14:paraId="11DA90F6" w14:textId="77777777" w:rsidR="00CB2623" w:rsidRPr="00B333D4" w:rsidRDefault="00CB2623" w:rsidP="00A36C17">
            <w:pPr>
              <w:spacing w:after="0" w:line="240" w:lineRule="auto"/>
              <w:jc w:val="center"/>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1</w:t>
            </w:r>
          </w:p>
        </w:tc>
        <w:tc>
          <w:tcPr>
            <w:tcW w:w="5999" w:type="dxa"/>
            <w:hideMark/>
          </w:tcPr>
          <w:p w14:paraId="08F7EF62" w14:textId="77777777" w:rsidR="00CB2623" w:rsidRPr="00B333D4" w:rsidRDefault="00CB2623"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 xml:space="preserve">Artikel pada jurnal internasional terindeks Scopus (Q1–Q4) yang diterbitkan oleh penerbit bereputasi (Elsevier, Springer, Wiley, Emerald, Routledge, MDPI) dan relevan dengan topik </w:t>
            </w:r>
            <w:r w:rsidRPr="00B333D4">
              <w:rPr>
                <w:rFonts w:ascii="Adobe Garamond Pro" w:eastAsia="Times New Roman" w:hAnsi="Adobe Garamond Pro" w:cs="Times New Roman"/>
                <w:i/>
                <w:iCs/>
                <w:color w:val="000000"/>
                <w:sz w:val="16"/>
                <w:szCs w:val="16"/>
              </w:rPr>
              <w:t>sustainability report</w:t>
            </w:r>
            <w:r w:rsidRPr="00B333D4">
              <w:rPr>
                <w:rFonts w:ascii="Adobe Garamond Pro" w:eastAsia="Times New Roman" w:hAnsi="Adobe Garamond Pro" w:cs="Times New Roman"/>
                <w:color w:val="000000"/>
                <w:sz w:val="16"/>
                <w:szCs w:val="16"/>
              </w:rPr>
              <w:t xml:space="preserve"> industri kelapa sawit</w:t>
            </w:r>
          </w:p>
        </w:tc>
        <w:tc>
          <w:tcPr>
            <w:tcW w:w="437" w:type="dxa"/>
            <w:hideMark/>
          </w:tcPr>
          <w:p w14:paraId="2AA7370E" w14:textId="77777777" w:rsidR="00CB2623" w:rsidRPr="00B333D4" w:rsidRDefault="00CB2623" w:rsidP="00A36C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87</w:t>
            </w:r>
          </w:p>
        </w:tc>
        <w:tc>
          <w:tcPr>
            <w:tcW w:w="607" w:type="dxa"/>
            <w:hideMark/>
          </w:tcPr>
          <w:p w14:paraId="6BF7CD41" w14:textId="77777777" w:rsidR="00CB2623" w:rsidRPr="00B333D4" w:rsidRDefault="00CB2623" w:rsidP="00A36C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47%</w:t>
            </w:r>
          </w:p>
        </w:tc>
      </w:tr>
      <w:tr w:rsidR="00CB2623" w:rsidRPr="00B333D4" w14:paraId="6AF21390" w14:textId="77777777" w:rsidTr="00B333D4">
        <w:trPr>
          <w:trHeight w:val="284"/>
          <w:jc w:val="center"/>
        </w:trPr>
        <w:tc>
          <w:tcPr>
            <w:cnfStyle w:val="001000000000" w:firstRow="0" w:lastRow="0" w:firstColumn="1" w:lastColumn="0" w:oddVBand="0" w:evenVBand="0" w:oddHBand="0" w:evenHBand="0" w:firstRowFirstColumn="0" w:firstRowLastColumn="0" w:lastRowFirstColumn="0" w:lastRowLastColumn="0"/>
            <w:tcW w:w="480" w:type="dxa"/>
            <w:hideMark/>
          </w:tcPr>
          <w:p w14:paraId="7B0CFCC6" w14:textId="77777777" w:rsidR="00CB2623" w:rsidRPr="00B333D4" w:rsidRDefault="00CB2623" w:rsidP="00A36C17">
            <w:pPr>
              <w:spacing w:after="0" w:line="240" w:lineRule="auto"/>
              <w:jc w:val="center"/>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2</w:t>
            </w:r>
          </w:p>
        </w:tc>
        <w:tc>
          <w:tcPr>
            <w:tcW w:w="5999" w:type="dxa"/>
            <w:hideMark/>
          </w:tcPr>
          <w:p w14:paraId="3C4A3091" w14:textId="77777777" w:rsidR="00CB2623" w:rsidRPr="00B333D4" w:rsidRDefault="00CB2623"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Artikel yang sama (duplikasi judul dan/atau isi)</w:t>
            </w:r>
          </w:p>
        </w:tc>
        <w:tc>
          <w:tcPr>
            <w:tcW w:w="437" w:type="dxa"/>
            <w:hideMark/>
          </w:tcPr>
          <w:p w14:paraId="0535EF3D" w14:textId="77777777" w:rsidR="00CB2623" w:rsidRPr="00B333D4" w:rsidRDefault="00CB2623" w:rsidP="00A36C1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0</w:t>
            </w:r>
          </w:p>
        </w:tc>
        <w:tc>
          <w:tcPr>
            <w:tcW w:w="607" w:type="dxa"/>
            <w:hideMark/>
          </w:tcPr>
          <w:p w14:paraId="0127B25C" w14:textId="77777777" w:rsidR="00CB2623" w:rsidRPr="00B333D4" w:rsidRDefault="00CB2623" w:rsidP="00A36C1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0%</w:t>
            </w:r>
          </w:p>
        </w:tc>
      </w:tr>
      <w:tr w:rsidR="00CB2623" w:rsidRPr="00B333D4" w14:paraId="0F47B14D" w14:textId="77777777" w:rsidTr="00B333D4">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480" w:type="dxa"/>
            <w:hideMark/>
          </w:tcPr>
          <w:p w14:paraId="63E57898" w14:textId="77777777" w:rsidR="00CB2623" w:rsidRPr="00B333D4" w:rsidRDefault="00CB2623" w:rsidP="00A36C17">
            <w:pPr>
              <w:spacing w:after="0" w:line="240" w:lineRule="auto"/>
              <w:jc w:val="center"/>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lastRenderedPageBreak/>
              <w:t>3</w:t>
            </w:r>
          </w:p>
        </w:tc>
        <w:tc>
          <w:tcPr>
            <w:tcW w:w="5999" w:type="dxa"/>
            <w:hideMark/>
          </w:tcPr>
          <w:p w14:paraId="75503934" w14:textId="77777777" w:rsidR="00CB2623" w:rsidRPr="00B333D4" w:rsidRDefault="00CB2623"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 xml:space="preserve">Artikel tidak lengkap (tidak tersedia </w:t>
            </w:r>
            <w:r w:rsidRPr="00B333D4">
              <w:rPr>
                <w:rFonts w:ascii="Adobe Garamond Pro" w:eastAsia="Times New Roman" w:hAnsi="Adobe Garamond Pro" w:cs="Times New Roman"/>
                <w:i/>
                <w:iCs/>
                <w:color w:val="000000"/>
                <w:sz w:val="16"/>
                <w:szCs w:val="16"/>
              </w:rPr>
              <w:t>full text</w:t>
            </w:r>
            <w:r w:rsidRPr="00B333D4">
              <w:rPr>
                <w:rFonts w:ascii="Adobe Garamond Pro" w:eastAsia="Times New Roman" w:hAnsi="Adobe Garamond Pro" w:cs="Times New Roman"/>
                <w:color w:val="000000"/>
                <w:sz w:val="16"/>
                <w:szCs w:val="16"/>
              </w:rPr>
              <w:t xml:space="preserve"> atau informasi bibliografis tidak memadai)</w:t>
            </w:r>
          </w:p>
        </w:tc>
        <w:tc>
          <w:tcPr>
            <w:tcW w:w="437" w:type="dxa"/>
            <w:hideMark/>
          </w:tcPr>
          <w:p w14:paraId="21AF85DD" w14:textId="77777777" w:rsidR="00CB2623" w:rsidRPr="00B333D4" w:rsidRDefault="00CB2623" w:rsidP="00A36C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0</w:t>
            </w:r>
          </w:p>
        </w:tc>
        <w:tc>
          <w:tcPr>
            <w:tcW w:w="607" w:type="dxa"/>
            <w:hideMark/>
          </w:tcPr>
          <w:p w14:paraId="65AF406E" w14:textId="77777777" w:rsidR="00CB2623" w:rsidRPr="00B333D4" w:rsidRDefault="00CB2623" w:rsidP="00A36C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0%</w:t>
            </w:r>
          </w:p>
        </w:tc>
      </w:tr>
      <w:tr w:rsidR="00CB2623" w:rsidRPr="00B333D4" w14:paraId="3D941A74" w14:textId="77777777" w:rsidTr="00B333D4">
        <w:trPr>
          <w:trHeight w:val="421"/>
          <w:jc w:val="center"/>
        </w:trPr>
        <w:tc>
          <w:tcPr>
            <w:cnfStyle w:val="001000000000" w:firstRow="0" w:lastRow="0" w:firstColumn="1" w:lastColumn="0" w:oddVBand="0" w:evenVBand="0" w:oddHBand="0" w:evenHBand="0" w:firstRowFirstColumn="0" w:firstRowLastColumn="0" w:lastRowFirstColumn="0" w:lastRowLastColumn="0"/>
            <w:tcW w:w="480" w:type="dxa"/>
            <w:hideMark/>
          </w:tcPr>
          <w:p w14:paraId="4C699BAE" w14:textId="77777777" w:rsidR="00CB2623" w:rsidRPr="00B333D4" w:rsidRDefault="00CB2623" w:rsidP="00A36C17">
            <w:pPr>
              <w:spacing w:after="0" w:line="240" w:lineRule="auto"/>
              <w:jc w:val="center"/>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4</w:t>
            </w:r>
          </w:p>
        </w:tc>
        <w:tc>
          <w:tcPr>
            <w:tcW w:w="5999" w:type="dxa"/>
            <w:hideMark/>
          </w:tcPr>
          <w:p w14:paraId="0A8651B5" w14:textId="77777777" w:rsidR="00CB2623" w:rsidRPr="00B333D4" w:rsidRDefault="00CB2623"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Artikel yang tidak sesuai dengan topik penelitian (bukan membahas keberlanjutan, deforestasi, sertifikasi, atau pelaporan keberlanjutan kelapa sawit)</w:t>
            </w:r>
          </w:p>
        </w:tc>
        <w:tc>
          <w:tcPr>
            <w:tcW w:w="437" w:type="dxa"/>
            <w:hideMark/>
          </w:tcPr>
          <w:p w14:paraId="5DF94B05" w14:textId="77777777" w:rsidR="00CB2623" w:rsidRPr="00B333D4" w:rsidRDefault="00CB2623" w:rsidP="00A36C1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81</w:t>
            </w:r>
          </w:p>
        </w:tc>
        <w:tc>
          <w:tcPr>
            <w:tcW w:w="607" w:type="dxa"/>
            <w:hideMark/>
          </w:tcPr>
          <w:p w14:paraId="3FBFD67C" w14:textId="77777777" w:rsidR="00CB2623" w:rsidRPr="00B333D4" w:rsidRDefault="00CB2623" w:rsidP="00A36C1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53%</w:t>
            </w:r>
          </w:p>
        </w:tc>
      </w:tr>
      <w:tr w:rsidR="00CB2623" w:rsidRPr="00B333D4" w14:paraId="44E7623A" w14:textId="77777777" w:rsidTr="00B333D4">
        <w:trPr>
          <w:cnfStyle w:val="000000100000" w:firstRow="0" w:lastRow="0" w:firstColumn="0" w:lastColumn="0" w:oddVBand="0" w:evenVBand="0" w:oddHBand="1" w:evenHBand="0" w:firstRowFirstColumn="0" w:firstRowLastColumn="0" w:lastRowFirstColumn="0" w:lastRowLastColumn="0"/>
          <w:trHeight w:val="158"/>
          <w:jc w:val="center"/>
        </w:trPr>
        <w:tc>
          <w:tcPr>
            <w:cnfStyle w:val="001000000000" w:firstRow="0" w:lastRow="0" w:firstColumn="1" w:lastColumn="0" w:oddVBand="0" w:evenVBand="0" w:oddHBand="0" w:evenHBand="0" w:firstRowFirstColumn="0" w:firstRowLastColumn="0" w:lastRowFirstColumn="0" w:lastRowLastColumn="0"/>
            <w:tcW w:w="6479" w:type="dxa"/>
            <w:gridSpan w:val="2"/>
            <w:hideMark/>
          </w:tcPr>
          <w:p w14:paraId="75C7B1F3" w14:textId="3516FD52" w:rsidR="00CB2623" w:rsidRPr="00B333D4" w:rsidRDefault="00B333D4" w:rsidP="00A36C17">
            <w:pPr>
              <w:spacing w:after="0" w:line="240" w:lineRule="auto"/>
              <w:jc w:val="center"/>
              <w:rPr>
                <w:rFonts w:ascii="Adobe Garamond Pro" w:eastAsia="Times New Roman" w:hAnsi="Adobe Garamond Pro" w:cs="Times New Roman"/>
                <w:b w:val="0"/>
                <w:bCs w:val="0"/>
                <w:color w:val="000000"/>
                <w:sz w:val="16"/>
                <w:szCs w:val="16"/>
              </w:rPr>
            </w:pPr>
            <w:r>
              <w:rPr>
                <w:rFonts w:ascii="Adobe Garamond Pro" w:eastAsia="Times New Roman" w:hAnsi="Adobe Garamond Pro" w:cs="Times New Roman"/>
                <w:color w:val="000000"/>
                <w:sz w:val="16"/>
                <w:szCs w:val="16"/>
              </w:rPr>
              <w:t xml:space="preserve">Jumlah artikel yang dikumpulkan </w:t>
            </w:r>
          </w:p>
        </w:tc>
        <w:tc>
          <w:tcPr>
            <w:tcW w:w="1044" w:type="dxa"/>
            <w:gridSpan w:val="2"/>
            <w:hideMark/>
          </w:tcPr>
          <w:p w14:paraId="0902A101" w14:textId="77777777" w:rsidR="00CB2623" w:rsidRPr="00B333D4" w:rsidRDefault="00CB2623"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b/>
                <w:bCs/>
                <w:color w:val="000000"/>
                <w:sz w:val="16"/>
                <w:szCs w:val="16"/>
              </w:rPr>
            </w:pPr>
            <w:r w:rsidRPr="00B333D4">
              <w:rPr>
                <w:rFonts w:ascii="Adobe Garamond Pro" w:eastAsia="Times New Roman" w:hAnsi="Adobe Garamond Pro" w:cs="Times New Roman"/>
                <w:b/>
                <w:bCs/>
                <w:color w:val="000000"/>
                <w:sz w:val="16"/>
                <w:szCs w:val="16"/>
              </w:rPr>
              <w:t>168</w:t>
            </w:r>
          </w:p>
        </w:tc>
      </w:tr>
      <w:tr w:rsidR="00CB2623" w:rsidRPr="00B333D4" w14:paraId="070E84B3" w14:textId="77777777" w:rsidTr="00B333D4">
        <w:trPr>
          <w:trHeight w:val="211"/>
          <w:jc w:val="center"/>
        </w:trPr>
        <w:tc>
          <w:tcPr>
            <w:cnfStyle w:val="001000000000" w:firstRow="0" w:lastRow="0" w:firstColumn="1" w:lastColumn="0" w:oddVBand="0" w:evenVBand="0" w:oddHBand="0" w:evenHBand="0" w:firstRowFirstColumn="0" w:firstRowLastColumn="0" w:lastRowFirstColumn="0" w:lastRowLastColumn="0"/>
            <w:tcW w:w="6479" w:type="dxa"/>
            <w:gridSpan w:val="2"/>
            <w:hideMark/>
          </w:tcPr>
          <w:p w14:paraId="7BB0341E" w14:textId="499371B3" w:rsidR="00CB2623" w:rsidRPr="00B333D4" w:rsidRDefault="00B333D4" w:rsidP="00A36C17">
            <w:pPr>
              <w:spacing w:after="0" w:line="240" w:lineRule="auto"/>
              <w:jc w:val="center"/>
              <w:rPr>
                <w:rFonts w:ascii="Adobe Garamond Pro" w:eastAsia="Times New Roman" w:hAnsi="Adobe Garamond Pro" w:cs="Times New Roman"/>
                <w:b w:val="0"/>
                <w:bCs w:val="0"/>
                <w:color w:val="000000"/>
                <w:sz w:val="16"/>
                <w:szCs w:val="16"/>
              </w:rPr>
            </w:pPr>
            <w:r>
              <w:rPr>
                <w:rFonts w:ascii="Adobe Garamond Pro" w:eastAsia="Times New Roman" w:hAnsi="Adobe Garamond Pro" w:cs="Times New Roman"/>
                <w:color w:val="000000"/>
                <w:sz w:val="16"/>
                <w:szCs w:val="16"/>
              </w:rPr>
              <w:t>Jumlah a</w:t>
            </w:r>
            <w:r w:rsidR="00CB2623" w:rsidRPr="00B333D4">
              <w:rPr>
                <w:rFonts w:ascii="Adobe Garamond Pro" w:eastAsia="Times New Roman" w:hAnsi="Adobe Garamond Pro" w:cs="Times New Roman"/>
                <w:color w:val="000000"/>
                <w:sz w:val="16"/>
                <w:szCs w:val="16"/>
              </w:rPr>
              <w:t xml:space="preserve">rtikel </w:t>
            </w:r>
            <w:r>
              <w:rPr>
                <w:rFonts w:ascii="Adobe Garamond Pro" w:eastAsia="Times New Roman" w:hAnsi="Adobe Garamond Pro" w:cs="Times New Roman"/>
                <w:color w:val="000000"/>
                <w:sz w:val="16"/>
                <w:szCs w:val="16"/>
              </w:rPr>
              <w:t>akhir yang digunakan</w:t>
            </w:r>
          </w:p>
        </w:tc>
        <w:tc>
          <w:tcPr>
            <w:tcW w:w="1044" w:type="dxa"/>
            <w:gridSpan w:val="2"/>
            <w:hideMark/>
          </w:tcPr>
          <w:p w14:paraId="31CC5610" w14:textId="77777777" w:rsidR="00CB2623" w:rsidRPr="00B333D4" w:rsidRDefault="00CB2623" w:rsidP="00A36C17">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b/>
                <w:bCs/>
                <w:color w:val="000000"/>
                <w:sz w:val="16"/>
                <w:szCs w:val="16"/>
              </w:rPr>
            </w:pPr>
            <w:r w:rsidRPr="00B333D4">
              <w:rPr>
                <w:rFonts w:ascii="Adobe Garamond Pro" w:eastAsia="Times New Roman" w:hAnsi="Adobe Garamond Pro" w:cs="Times New Roman"/>
                <w:b/>
                <w:bCs/>
                <w:color w:val="000000"/>
                <w:sz w:val="16"/>
                <w:szCs w:val="16"/>
              </w:rPr>
              <w:t>87</w:t>
            </w:r>
          </w:p>
        </w:tc>
      </w:tr>
    </w:tbl>
    <w:p w14:paraId="18CDFA4B" w14:textId="4E08B6A2" w:rsidR="00B333D4" w:rsidRDefault="00CB2623" w:rsidP="00B333D4">
      <w:pPr>
        <w:pStyle w:val="Caption"/>
        <w:ind w:firstLine="851"/>
        <w:rPr>
          <w:rFonts w:ascii="Adobe Garamond Pro" w:hAnsi="Adobe Garamond Pro" w:cs="Times New Roman"/>
          <w:i w:val="0"/>
          <w:iCs w:val="0"/>
          <w:color w:val="000000" w:themeColor="text1"/>
          <w:sz w:val="16"/>
          <w:szCs w:val="16"/>
        </w:rPr>
      </w:pPr>
      <w:bookmarkStart w:id="4" w:name="_Hlk217435330"/>
      <w:bookmarkEnd w:id="3"/>
      <w:r w:rsidRPr="00B333D4">
        <w:rPr>
          <w:rFonts w:ascii="Adobe Garamond Pro" w:hAnsi="Adobe Garamond Pro" w:cs="Times New Roman"/>
          <w:i w:val="0"/>
          <w:iCs w:val="0"/>
          <w:color w:val="000000" w:themeColor="text1"/>
          <w:sz w:val="16"/>
          <w:szCs w:val="16"/>
        </w:rPr>
        <w:t>Sumber: Data Base Scopus</w:t>
      </w:r>
    </w:p>
    <w:p w14:paraId="093D9B9A" w14:textId="77777777" w:rsidR="00B333D4" w:rsidRPr="00B333D4" w:rsidRDefault="00B333D4" w:rsidP="00B333D4"/>
    <w:p w14:paraId="29FC309A" w14:textId="77777777" w:rsidR="00B333D4" w:rsidRPr="00B333D4" w:rsidRDefault="00B333D4" w:rsidP="008B5AE7">
      <w:pPr>
        <w:pStyle w:val="BodyText"/>
        <w:ind w:left="0" w:right="49"/>
        <w:jc w:val="left"/>
        <w:rPr>
          <w:rFonts w:ascii="Adobe Garamond Pro" w:hAnsi="Adobe Garamond Pro"/>
          <w:b/>
          <w:bCs/>
          <w:color w:val="000000" w:themeColor="text1"/>
          <w:sz w:val="18"/>
          <w:szCs w:val="18"/>
        </w:rPr>
      </w:pPr>
      <w:r w:rsidRPr="00B333D4">
        <w:rPr>
          <w:rFonts w:ascii="Adobe Garamond Pro" w:hAnsi="Adobe Garamond Pro"/>
          <w:b/>
          <w:bCs/>
          <w:color w:val="000000" w:themeColor="text1"/>
          <w:sz w:val="18"/>
          <w:szCs w:val="18"/>
        </w:rPr>
        <w:t xml:space="preserve">Gambar </w:t>
      </w:r>
      <w:r w:rsidRPr="00B333D4">
        <w:rPr>
          <w:rFonts w:ascii="Adobe Garamond Pro" w:hAnsi="Adobe Garamond Pro"/>
          <w:b/>
          <w:bCs/>
          <w:i/>
          <w:iCs/>
          <w:color w:val="000000" w:themeColor="text1"/>
          <w:sz w:val="18"/>
          <w:szCs w:val="18"/>
        </w:rPr>
        <w:fldChar w:fldCharType="begin"/>
      </w:r>
      <w:r w:rsidRPr="00B333D4">
        <w:rPr>
          <w:rFonts w:ascii="Adobe Garamond Pro" w:hAnsi="Adobe Garamond Pro"/>
          <w:b/>
          <w:bCs/>
          <w:color w:val="000000" w:themeColor="text1"/>
          <w:sz w:val="18"/>
          <w:szCs w:val="18"/>
        </w:rPr>
        <w:instrText xml:space="preserve"> SEQ Gambar_ \* ARABIC </w:instrText>
      </w:r>
      <w:r w:rsidRPr="00B333D4">
        <w:rPr>
          <w:rFonts w:ascii="Adobe Garamond Pro" w:hAnsi="Adobe Garamond Pro"/>
          <w:b/>
          <w:bCs/>
          <w:i/>
          <w:iCs/>
          <w:color w:val="000000" w:themeColor="text1"/>
          <w:sz w:val="18"/>
          <w:szCs w:val="18"/>
        </w:rPr>
        <w:fldChar w:fldCharType="separate"/>
      </w:r>
      <w:r w:rsidRPr="00B333D4">
        <w:rPr>
          <w:rFonts w:ascii="Adobe Garamond Pro" w:hAnsi="Adobe Garamond Pro"/>
          <w:b/>
          <w:bCs/>
          <w:noProof/>
          <w:color w:val="000000" w:themeColor="text1"/>
          <w:sz w:val="18"/>
          <w:szCs w:val="18"/>
        </w:rPr>
        <w:t>1</w:t>
      </w:r>
      <w:r w:rsidRPr="00B333D4">
        <w:rPr>
          <w:rFonts w:ascii="Adobe Garamond Pro" w:hAnsi="Adobe Garamond Pro"/>
          <w:b/>
          <w:bCs/>
          <w:i/>
          <w:iCs/>
          <w:color w:val="000000" w:themeColor="text1"/>
          <w:sz w:val="18"/>
          <w:szCs w:val="18"/>
        </w:rPr>
        <w:fldChar w:fldCharType="end"/>
      </w:r>
      <w:r w:rsidRPr="00B333D4">
        <w:rPr>
          <w:rFonts w:ascii="Adobe Garamond Pro" w:hAnsi="Adobe Garamond Pro"/>
          <w:b/>
          <w:bCs/>
          <w:color w:val="000000" w:themeColor="text1"/>
          <w:sz w:val="18"/>
          <w:szCs w:val="18"/>
        </w:rPr>
        <w:t xml:space="preserve"> </w:t>
      </w:r>
      <w:r w:rsidRPr="008B5AE7">
        <w:rPr>
          <w:rFonts w:ascii="Adobe Garamond Pro" w:hAnsi="Adobe Garamond Pro"/>
          <w:color w:val="000000" w:themeColor="text1"/>
          <w:sz w:val="18"/>
          <w:szCs w:val="18"/>
        </w:rPr>
        <w:t>Distribusi Penelitian Tentang Palm oil &amp; Deforestation</w:t>
      </w:r>
    </w:p>
    <w:p w14:paraId="3EFEB6AD" w14:textId="77777777" w:rsidR="00B333D4" w:rsidRPr="00B333D4" w:rsidRDefault="00B333D4" w:rsidP="00B333D4">
      <w:pPr>
        <w:spacing w:after="0"/>
      </w:pPr>
    </w:p>
    <w:p w14:paraId="079E37B5" w14:textId="614205E6" w:rsidR="00CB2623" w:rsidRPr="00B333D4" w:rsidRDefault="00F73936" w:rsidP="00B333D4">
      <w:pPr>
        <w:pStyle w:val="BodyText"/>
        <w:keepNext/>
        <w:spacing w:before="1"/>
        <w:ind w:left="0" w:right="49"/>
        <w:jc w:val="center"/>
        <w:rPr>
          <w:rFonts w:ascii="Adobe Garamond Pro" w:hAnsi="Adobe Garamond Pro"/>
        </w:rPr>
      </w:pPr>
      <w:bookmarkStart w:id="5" w:name="_Hlk217435342"/>
      <w:bookmarkEnd w:id="4"/>
      <w:r w:rsidRPr="00623D81">
        <w:rPr>
          <w:noProof/>
          <w:sz w:val="16"/>
          <w:szCs w:val="16"/>
        </w:rPr>
        <w:drawing>
          <wp:inline distT="0" distB="0" distL="0" distR="0" wp14:anchorId="3CE93846" wp14:editId="4DE62218">
            <wp:extent cx="2790190" cy="1514475"/>
            <wp:effectExtent l="0" t="0" r="10160" b="9525"/>
            <wp:docPr id="1835884440" name="Chart 1">
              <a:extLst xmlns:a="http://schemas.openxmlformats.org/drawingml/2006/main">
                <a:ext uri="{FF2B5EF4-FFF2-40B4-BE49-F238E27FC236}">
                  <a16:creationId xmlns:a16="http://schemas.microsoft.com/office/drawing/2014/main" id="{349863DA-73C5-714F-86B1-84231379FD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09BB3A" w14:textId="1B7BDE2F" w:rsidR="00CB2623" w:rsidRPr="00B333D4" w:rsidRDefault="008B5AE7" w:rsidP="008B5AE7">
      <w:pPr>
        <w:pStyle w:val="Caption"/>
        <w:spacing w:after="0"/>
        <w:ind w:left="1440" w:firstLine="720"/>
        <w:rPr>
          <w:rFonts w:ascii="Adobe Garamond Pro" w:hAnsi="Adobe Garamond Pro" w:cs="Times New Roman"/>
          <w:i w:val="0"/>
          <w:iCs w:val="0"/>
          <w:color w:val="000000" w:themeColor="text1"/>
        </w:rPr>
      </w:pPr>
      <w:r>
        <w:rPr>
          <w:rFonts w:ascii="Adobe Garamond Pro" w:hAnsi="Adobe Garamond Pro" w:cs="Times New Roman"/>
          <w:i w:val="0"/>
          <w:iCs w:val="0"/>
          <w:color w:val="000000" w:themeColor="text1"/>
        </w:rPr>
        <w:t xml:space="preserve">   </w:t>
      </w:r>
      <w:r w:rsidR="00CB2623" w:rsidRPr="00B333D4">
        <w:rPr>
          <w:rFonts w:ascii="Adobe Garamond Pro" w:hAnsi="Adobe Garamond Pro" w:cs="Times New Roman"/>
          <w:i w:val="0"/>
          <w:iCs w:val="0"/>
          <w:color w:val="000000" w:themeColor="text1"/>
        </w:rPr>
        <w:t>Sumber: Data Penelitian</w:t>
      </w:r>
      <w:bookmarkEnd w:id="5"/>
    </w:p>
    <w:p w14:paraId="31F1A8BB" w14:textId="77777777" w:rsidR="00CB2623" w:rsidRPr="00CB2623" w:rsidRDefault="00CB2623" w:rsidP="00CB2623">
      <w:pPr>
        <w:pStyle w:val="BodyText"/>
        <w:ind w:left="0" w:right="49"/>
        <w:rPr>
          <w:rFonts w:ascii="Adobe Garamond Pro" w:hAnsi="Adobe Garamond Pro"/>
          <w:sz w:val="22"/>
          <w:szCs w:val="22"/>
          <w:lang w:val="en-US"/>
        </w:rPr>
      </w:pPr>
    </w:p>
    <w:p w14:paraId="1792AFA5" w14:textId="32971BD9" w:rsidR="00B7232A" w:rsidRDefault="00CB2623" w:rsidP="00AD4153">
      <w:pPr>
        <w:pStyle w:val="BodyText"/>
        <w:spacing w:line="360" w:lineRule="auto"/>
        <w:ind w:left="0" w:right="49" w:firstLine="720"/>
        <w:rPr>
          <w:rFonts w:ascii="Adobe Garamond Pro" w:hAnsi="Adobe Garamond Pro"/>
          <w:sz w:val="22"/>
          <w:szCs w:val="22"/>
          <w:lang w:val="en-US"/>
        </w:rPr>
      </w:pPr>
      <w:r w:rsidRPr="00CB2623">
        <w:rPr>
          <w:rFonts w:ascii="Adobe Garamond Pro" w:hAnsi="Adobe Garamond Pro"/>
          <w:sz w:val="22"/>
          <w:szCs w:val="22"/>
          <w:lang w:val="en-US"/>
        </w:rPr>
        <w:t xml:space="preserve">Pertumbuhan terbesar dalam literatur terjadi antara tahun 2021 dan 2025, dengan 42 artikel yang menyumbang hampir 50% dari total sampel. Peningkatan ini menunjukkan pergeseran fokus penelitian dari sekadar memetakan dampak menjadi menganalisis transparansi rantai pasokan dan efektivitas laporan keberlanjutan sebagai respons terhadap peraturan internasional yang semakin ketat, seperti kebijakan ESG (Lingkungan, Sosial, dan Tata Kelola) dan standar pelaporan GRI terbaru. Konsentrasi data dalam lima tahun terakhir memastikan bahwa temuan studi ini sangat baru dan relevan dengan kondisi pasar saat ini serta kebijakan </w:t>
      </w:r>
      <w:r w:rsidR="00B7232A">
        <w:rPr>
          <w:rFonts w:ascii="Adobe Garamond Pro" w:hAnsi="Adobe Garamond Pro"/>
          <w:sz w:val="22"/>
          <w:szCs w:val="22"/>
          <w:lang w:val="en-US"/>
        </w:rPr>
        <w:t>pada industri kelapa sawit.</w:t>
      </w:r>
    </w:p>
    <w:p w14:paraId="05FBCE15" w14:textId="6976064C" w:rsidR="00B7232A" w:rsidRPr="00B7232A" w:rsidRDefault="00B7232A" w:rsidP="00AD4153">
      <w:pPr>
        <w:pStyle w:val="BodyText"/>
        <w:spacing w:line="360" w:lineRule="auto"/>
        <w:ind w:left="0" w:right="49" w:firstLine="720"/>
        <w:rPr>
          <w:rFonts w:ascii="Adobe Garamond Pro" w:hAnsi="Adobe Garamond Pro"/>
          <w:sz w:val="20"/>
          <w:szCs w:val="20"/>
          <w:lang w:val="en-US"/>
        </w:rPr>
      </w:pPr>
      <w:bookmarkStart w:id="6" w:name="_Hlk217646494"/>
      <w:r>
        <w:rPr>
          <w:rFonts w:ascii="Adobe Garamond Pro" w:hAnsi="Adobe Garamond Pro"/>
          <w:sz w:val="22"/>
          <w:szCs w:val="22"/>
        </w:rPr>
        <w:t>Pada tabel 2</w:t>
      </w:r>
      <w:r w:rsidRPr="00B7232A">
        <w:rPr>
          <w:rFonts w:ascii="Adobe Garamond Pro" w:hAnsi="Adobe Garamond Pro"/>
          <w:sz w:val="22"/>
          <w:szCs w:val="22"/>
        </w:rPr>
        <w:t xml:space="preserve"> </w:t>
      </w:r>
      <w:r>
        <w:rPr>
          <w:rFonts w:ascii="Adobe Garamond Pro" w:hAnsi="Adobe Garamond Pro"/>
          <w:sz w:val="22"/>
          <w:szCs w:val="22"/>
        </w:rPr>
        <w:t xml:space="preserve">disajikan pemetaan </w:t>
      </w:r>
      <w:r w:rsidRPr="00B7232A">
        <w:rPr>
          <w:rFonts w:ascii="Adobe Garamond Pro" w:hAnsi="Adobe Garamond Pro"/>
          <w:sz w:val="22"/>
          <w:szCs w:val="22"/>
        </w:rPr>
        <w:t xml:space="preserve">nama jurnal ilmiah dan tahun terbit dilakukan dengan mengklasifikasikan artikel berdasarkan nama jurnal ilmiah dan tahun terbit untuk memberikan informasi terkait sebaran artikel sustainability report dari tahun ke tahun dan jurnal mana saja yang mendominasi publikasi </w:t>
      </w:r>
      <w:r w:rsidRPr="00B7232A">
        <w:rPr>
          <w:rFonts w:ascii="Adobe Garamond Pro" w:hAnsi="Adobe Garamond Pro"/>
          <w:sz w:val="22"/>
          <w:szCs w:val="22"/>
        </w:rPr>
        <w:fldChar w:fldCharType="begin" w:fldLock="1"/>
      </w:r>
      <w:r w:rsidRPr="00B7232A">
        <w:rPr>
          <w:rFonts w:ascii="Adobe Garamond Pro" w:hAnsi="Adobe Garamond Pro"/>
          <w:sz w:val="22"/>
          <w:szCs w:val="22"/>
        </w:rPr>
        <w:instrText>ADDIN CSL_CITATION {"citationItems":[{"id":"ITEM-1","itemData":{"author":[{"dropping-particle":"","family":"Sari","given":"Risca Novita","non-dropping-particle":"","parse-names":false,"suffix":""},{"dropping-particle":"","family":"Herawati","given":"Nurul","non-dropping-particle":"","parse-names":false,"suffix":""},{"dropping-particle":"","family":"Pauzi","given":"Nur Farahah Mohd","non-dropping-particle":"","parse-names":false,"suffix":""}],"container-title":"Wahana Riset Akuntansi","id":"ITEM-1","issue":"1","issued":{"date-parts":[["2023"]]},"page":"63","title":"The Mapping of Tax Compliance Research in Indonesia","type":"article-journal","volume":"11"},"uris":["http://www.mendeley.com/documents/?uuid=77c58ce2-f061-4994-ba60-fbceb3e457a4"]}],"mendeley":{"formattedCitation":"(Sari et al., 2023)","plainTextFormattedCitation":"(Sari et al., 2023)","previouslyFormattedCitation":"(Sari et al., 2023)"},"properties":{"noteIndex":0},"schema":"https://github.com/citation-style-language/schema/raw/master/csl-citation.json"}</w:instrText>
      </w:r>
      <w:r w:rsidRPr="00B7232A">
        <w:rPr>
          <w:rFonts w:ascii="Adobe Garamond Pro" w:hAnsi="Adobe Garamond Pro"/>
          <w:sz w:val="22"/>
          <w:szCs w:val="22"/>
        </w:rPr>
        <w:fldChar w:fldCharType="separate"/>
      </w:r>
      <w:r w:rsidRPr="00B7232A">
        <w:rPr>
          <w:rFonts w:ascii="Adobe Garamond Pro" w:hAnsi="Adobe Garamond Pro"/>
          <w:noProof/>
          <w:sz w:val="22"/>
          <w:szCs w:val="22"/>
        </w:rPr>
        <w:t>(Sari et al., 2023)</w:t>
      </w:r>
      <w:r w:rsidRPr="00B7232A">
        <w:rPr>
          <w:rFonts w:ascii="Adobe Garamond Pro" w:hAnsi="Adobe Garamond Pro"/>
          <w:sz w:val="22"/>
          <w:szCs w:val="22"/>
        </w:rPr>
        <w:fldChar w:fldCharType="end"/>
      </w:r>
      <w:r w:rsidRPr="00B7232A">
        <w:rPr>
          <w:rFonts w:ascii="Adobe Garamond Pro" w:hAnsi="Adobe Garamond Pro"/>
          <w:sz w:val="22"/>
          <w:szCs w:val="22"/>
        </w:rPr>
        <w:t>. Selain itu, hal ini berfungsi untuk merekonstruksi kronologi perkembangan ilmu pengetahuan dalam suatu bidang riset. Secara akademis, pelacakan tahun publikasi memungkinkan peneliti untuk mengidentifikasi pola pertumbuhan literatur, mendeteksi perkembangan paradigma dari waktu ke waktu, serta memastikan kebaruan (</w:t>
      </w:r>
      <w:r w:rsidRPr="00B7232A">
        <w:rPr>
          <w:rFonts w:ascii="Adobe Garamond Pro" w:hAnsi="Adobe Garamond Pro"/>
          <w:i/>
          <w:iCs/>
          <w:sz w:val="22"/>
          <w:szCs w:val="22"/>
        </w:rPr>
        <w:t>novelty</w:t>
      </w:r>
      <w:r w:rsidRPr="00B7232A">
        <w:rPr>
          <w:rFonts w:ascii="Adobe Garamond Pro" w:hAnsi="Adobe Garamond Pro"/>
          <w:sz w:val="22"/>
          <w:szCs w:val="22"/>
        </w:rPr>
        <w:t xml:space="preserve">) penelitian agar tetap relevan dengan trend dan kondisi terkini </w:t>
      </w:r>
      <w:r w:rsidRPr="00B7232A">
        <w:rPr>
          <w:rFonts w:ascii="Adobe Garamond Pro" w:hAnsi="Adobe Garamond Pro"/>
          <w:sz w:val="22"/>
          <w:szCs w:val="22"/>
        </w:rPr>
        <w:fldChar w:fldCharType="begin" w:fldLock="1"/>
      </w:r>
      <w:r w:rsidRPr="00B7232A">
        <w:rPr>
          <w:rFonts w:ascii="Adobe Garamond Pro" w:hAnsi="Adobe Garamond Pro"/>
          <w:sz w:val="22"/>
          <w:szCs w:val="22"/>
        </w:rPr>
        <w:instrText>ADDIN CSL_CITATION {"citationItems":[{"id":"ITEM-1","itemData":{"ISSN":"0148-2963","author":[{"dropping-particle":"","family":"Donthu","given":"Naveen","non-dropping-particle":"","parse-names":false,"suffix":""},{"dropping-particle":"","family":"Kumar","given":"Satish","non-dropping-particle":"","parse-names":false,"suffix":""},{"dropping-particle":"","family":"Mukherjee","given":"Debmalya","non-dropping-particle":"","parse-names":false,"suffix":""},{"dropping-particle":"","family":"Pandey","given":"Nitesh","non-dropping-particle":"","parse-names":false,"suffix":""},{"dropping-particle":"","family":"Lim","given":"Weng Marc","non-dropping-particle":"","parse-names":false,"suffix":""}],"container-title":"Journal of business research","id":"ITEM-1","issued":{"date-parts":[["2021"]]},"page":"285-296","publisher":"Elsevier","title":"How to conduct a bibliometric analysis: An overview and guidelines","type":"article-journal","volume":"133"},"uris":["http://www.mendeley.com/documents/?uuid=f5fcc5a7-1510-40c1-866f-a8fd29b8ef11"]}],"mendeley":{"formattedCitation":"(Donthu et al., 2021)","plainTextFormattedCitation":"(Donthu et al., 2021)","previouslyFormattedCitation":"(Donthu et al., 2021)"},"properties":{"noteIndex":0},"schema":"https://github.com/citation-style-language/schema/raw/master/csl-citation.json"}</w:instrText>
      </w:r>
      <w:r w:rsidRPr="00B7232A">
        <w:rPr>
          <w:rFonts w:ascii="Adobe Garamond Pro" w:hAnsi="Adobe Garamond Pro"/>
          <w:sz w:val="22"/>
          <w:szCs w:val="22"/>
        </w:rPr>
        <w:fldChar w:fldCharType="separate"/>
      </w:r>
      <w:r w:rsidRPr="00B7232A">
        <w:rPr>
          <w:rFonts w:ascii="Adobe Garamond Pro" w:hAnsi="Adobe Garamond Pro"/>
          <w:noProof/>
          <w:sz w:val="22"/>
          <w:szCs w:val="22"/>
        </w:rPr>
        <w:t>(Donthu et al., 2021)</w:t>
      </w:r>
      <w:r w:rsidRPr="00B7232A">
        <w:rPr>
          <w:rFonts w:ascii="Adobe Garamond Pro" w:hAnsi="Adobe Garamond Pro"/>
          <w:sz w:val="22"/>
          <w:szCs w:val="22"/>
        </w:rPr>
        <w:fldChar w:fldCharType="end"/>
      </w:r>
      <w:r w:rsidRPr="00B7232A">
        <w:rPr>
          <w:rFonts w:ascii="Adobe Garamond Pro" w:hAnsi="Adobe Garamond Pro"/>
          <w:sz w:val="22"/>
          <w:szCs w:val="22"/>
        </w:rPr>
        <w:t xml:space="preserve">. Sementara itu, identifikasi nama jurnal berperan dalam memetakan otoritas sumber, yang membantu peneliti mengevaluasi kredibilitas data serta memahami preferensi dari berbagai platform publikasi yang berbeda </w:t>
      </w:r>
      <w:r w:rsidRPr="00B7232A">
        <w:rPr>
          <w:rFonts w:ascii="Adobe Garamond Pro" w:hAnsi="Adobe Garamond Pro"/>
          <w:sz w:val="22"/>
          <w:szCs w:val="22"/>
        </w:rPr>
        <w:fldChar w:fldCharType="begin" w:fldLock="1"/>
      </w:r>
      <w:r w:rsidRPr="00B7232A">
        <w:rPr>
          <w:rFonts w:ascii="Adobe Garamond Pro" w:hAnsi="Adobe Garamond Pro"/>
          <w:sz w:val="22"/>
          <w:szCs w:val="22"/>
        </w:rPr>
        <w:instrText>ADDIN CSL_CITATION {"citationItems":[{"id":"ITEM-1","itemData":{"ISSN":"1094-4281","author":[{"dropping-particle":"","family":"Zupic","given":"Ivan","non-dropping-particle":"","parse-names":false,"suffix":""},{"dropping-particle":"","family":"Čater","given":"Tomaž","non-dropping-particle":"","parse-names":false,"suffix":""}],"container-title":"Organizational research methods","id":"ITEM-1","issue":"3","issued":{"date-parts":[["2015"]]},"page":"429-472","publisher":"Sage Publications Sage CA: Los Angeles, CA","title":"Bibliometric methods in management and organization","type":"article-journal","volume":"18"},"uris":["http://www.mendeley.com/documents/?uuid=85becd58-eb5e-4d91-8af8-0667c9d725bb"]}],"mendeley":{"formattedCitation":"(Zupic &amp; Čater, 2015)","plainTextFormattedCitation":"(Zupic &amp; Čater, 2015)","previouslyFormattedCitation":"(Zupic &amp; Čater, 2015)"},"properties":{"noteIndex":0},"schema":"https://github.com/citation-style-language/schema/raw/master/csl-citation.json"}</w:instrText>
      </w:r>
      <w:r w:rsidRPr="00B7232A">
        <w:rPr>
          <w:rFonts w:ascii="Adobe Garamond Pro" w:hAnsi="Adobe Garamond Pro"/>
          <w:sz w:val="22"/>
          <w:szCs w:val="22"/>
        </w:rPr>
        <w:fldChar w:fldCharType="separate"/>
      </w:r>
      <w:r w:rsidRPr="00B7232A">
        <w:rPr>
          <w:rFonts w:ascii="Adobe Garamond Pro" w:hAnsi="Adobe Garamond Pro"/>
          <w:noProof/>
          <w:sz w:val="22"/>
          <w:szCs w:val="22"/>
        </w:rPr>
        <w:t>(Zupic &amp; Čater, 2015)</w:t>
      </w:r>
      <w:r w:rsidRPr="00B7232A">
        <w:rPr>
          <w:rFonts w:ascii="Adobe Garamond Pro" w:hAnsi="Adobe Garamond Pro"/>
          <w:sz w:val="22"/>
          <w:szCs w:val="22"/>
        </w:rPr>
        <w:fldChar w:fldCharType="end"/>
      </w:r>
      <w:r w:rsidRPr="00B7232A">
        <w:rPr>
          <w:rFonts w:ascii="Adobe Garamond Pro" w:hAnsi="Adobe Garamond Pro"/>
          <w:sz w:val="22"/>
          <w:szCs w:val="22"/>
        </w:rPr>
        <w:t>. Integrasi kedua variabel ini pada akhirnya membentuk sebuah peta navigasi ilmiah yang komprehensif, yang menurut</w:t>
      </w:r>
      <w:bookmarkStart w:id="7" w:name="_Hlk217588248"/>
      <w:r w:rsidRPr="00B7232A">
        <w:rPr>
          <w:rFonts w:ascii="Adobe Garamond Pro" w:hAnsi="Adobe Garamond Pro"/>
          <w:sz w:val="22"/>
          <w:szCs w:val="22"/>
        </w:rPr>
        <w:t xml:space="preserve"> </w:t>
      </w:r>
      <w:r w:rsidRPr="00B7232A">
        <w:rPr>
          <w:rFonts w:ascii="Adobe Garamond Pro" w:hAnsi="Adobe Garamond Pro"/>
          <w:sz w:val="22"/>
          <w:szCs w:val="22"/>
        </w:rPr>
        <w:fldChar w:fldCharType="begin" w:fldLock="1"/>
      </w:r>
      <w:r w:rsidRPr="00B7232A">
        <w:rPr>
          <w:rFonts w:ascii="Adobe Garamond Pro" w:hAnsi="Adobe Garamond Pro"/>
          <w:sz w:val="22"/>
          <w:szCs w:val="22"/>
        </w:rPr>
        <w:instrText>ADDIN CSL_CITATION {"citationItems":[{"id":"ITEM-1","itemData":{"ISSN":"0148-2963","author":[{"dropping-particle":"","family":"Snyder","given":"Hannah","non-dropping-particle":"","parse-names":false,"suffix":""}],"container-title":"Journal of business research","id":"ITEM-1","issued":{"date-parts":[["2019"]]},"page":"333-339","publisher":"Elsevier","title":"Literature review as a research methodology: An overview and guidelines","type":"article-journal","volume":"104"},"uris":["http://www.mendeley.com/documents/?uuid=1c578717-6959-40b4-98fd-f20791fe7cc0"]}],"mendeley":{"formattedCitation":"(Snyder, 2019)","manualFormatting":"Snyder (2019)","plainTextFormattedCitation":"(Snyder, 2019)","previouslyFormattedCitation":"(Snyder, 2019)"},"properties":{"noteIndex":0},"schema":"https://github.com/citation-style-language/schema/raw/master/csl-citation.json"}</w:instrText>
      </w:r>
      <w:r w:rsidRPr="00B7232A">
        <w:rPr>
          <w:rFonts w:ascii="Adobe Garamond Pro" w:hAnsi="Adobe Garamond Pro"/>
          <w:sz w:val="22"/>
          <w:szCs w:val="22"/>
        </w:rPr>
        <w:fldChar w:fldCharType="separate"/>
      </w:r>
      <w:r w:rsidRPr="00B7232A">
        <w:rPr>
          <w:rFonts w:ascii="Adobe Garamond Pro" w:hAnsi="Adobe Garamond Pro"/>
          <w:noProof/>
          <w:sz w:val="22"/>
          <w:szCs w:val="22"/>
        </w:rPr>
        <w:t>Snyder (2019)</w:t>
      </w:r>
      <w:r w:rsidRPr="00B7232A">
        <w:rPr>
          <w:rFonts w:ascii="Adobe Garamond Pro" w:hAnsi="Adobe Garamond Pro"/>
          <w:sz w:val="22"/>
          <w:szCs w:val="22"/>
        </w:rPr>
        <w:fldChar w:fldCharType="end"/>
      </w:r>
      <w:r w:rsidRPr="00B7232A">
        <w:rPr>
          <w:rFonts w:ascii="Adobe Garamond Pro" w:hAnsi="Adobe Garamond Pro"/>
          <w:sz w:val="22"/>
          <w:szCs w:val="22"/>
        </w:rPr>
        <w:t xml:space="preserve">, </w:t>
      </w:r>
      <w:bookmarkEnd w:id="7"/>
      <w:r w:rsidRPr="00B7232A">
        <w:rPr>
          <w:rFonts w:ascii="Adobe Garamond Pro" w:hAnsi="Adobe Garamond Pro"/>
          <w:sz w:val="22"/>
          <w:szCs w:val="22"/>
        </w:rPr>
        <w:t>tidak hanya mendokumentasikan akumulasi pengetahuan masa lalu tetapi juga memberikan proyeksi strategis mengenai arah dan konsentrasi riset di masa depan.</w:t>
      </w:r>
    </w:p>
    <w:p w14:paraId="339F6DDE" w14:textId="77777777" w:rsidR="00B7232A" w:rsidRPr="008B5AE7" w:rsidRDefault="00B7232A" w:rsidP="008B5AE7">
      <w:pPr>
        <w:pStyle w:val="Caption"/>
        <w:keepNext/>
        <w:spacing w:before="240"/>
        <w:rPr>
          <w:rFonts w:ascii="Adobe Garamond Pro" w:hAnsi="Adobe Garamond Pro" w:cs="Times New Roman"/>
          <w:i w:val="0"/>
          <w:iCs w:val="0"/>
          <w:color w:val="000000" w:themeColor="text1"/>
        </w:rPr>
      </w:pPr>
      <w:bookmarkStart w:id="8" w:name="_Hlk217435775"/>
      <w:bookmarkEnd w:id="6"/>
      <w:r w:rsidRPr="00B333D4">
        <w:rPr>
          <w:rFonts w:ascii="Adobe Garamond Pro" w:hAnsi="Adobe Garamond Pro" w:cs="Times New Roman"/>
          <w:b/>
          <w:bCs/>
          <w:i w:val="0"/>
          <w:iCs w:val="0"/>
          <w:color w:val="000000" w:themeColor="text1"/>
        </w:rPr>
        <w:lastRenderedPageBreak/>
        <w:t xml:space="preserve">Tabel 2 </w:t>
      </w:r>
      <w:r w:rsidRPr="008B5AE7">
        <w:rPr>
          <w:rFonts w:ascii="Adobe Garamond Pro" w:hAnsi="Adobe Garamond Pro" w:cs="Times New Roman"/>
          <w:i w:val="0"/>
          <w:iCs w:val="0"/>
          <w:color w:val="000000" w:themeColor="text1"/>
        </w:rPr>
        <w:t>Pemetaan Publikasi Palm Oil &amp; Deforestation Berdasarkan Nama Jurnal</w:t>
      </w:r>
    </w:p>
    <w:tbl>
      <w:tblPr>
        <w:tblStyle w:val="PlainTable4"/>
        <w:tblW w:w="9209" w:type="dxa"/>
        <w:jc w:val="center"/>
        <w:tblLook w:val="04A0" w:firstRow="1" w:lastRow="0" w:firstColumn="1" w:lastColumn="0" w:noHBand="0" w:noVBand="1"/>
      </w:tblPr>
      <w:tblGrid>
        <w:gridCol w:w="1244"/>
        <w:gridCol w:w="2751"/>
        <w:gridCol w:w="1239"/>
        <w:gridCol w:w="1322"/>
        <w:gridCol w:w="1252"/>
        <w:gridCol w:w="694"/>
        <w:gridCol w:w="707"/>
      </w:tblGrid>
      <w:tr w:rsidR="005D6186" w:rsidRPr="00B333D4" w14:paraId="44D316AD" w14:textId="77777777" w:rsidTr="00E17944">
        <w:trPr>
          <w:cnfStyle w:val="100000000000" w:firstRow="1" w:lastRow="0" w:firstColumn="0" w:lastColumn="0" w:oddVBand="0" w:evenVBand="0" w:oddHBand="0"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1244" w:type="dxa"/>
            <w:hideMark/>
          </w:tcPr>
          <w:p w14:paraId="0646A941" w14:textId="77777777" w:rsidR="00B7232A" w:rsidRPr="00B333D4" w:rsidRDefault="00B7232A" w:rsidP="005D6186">
            <w:pPr>
              <w:spacing w:after="200" w:line="240" w:lineRule="auto"/>
              <w:jc w:val="center"/>
              <w:rPr>
                <w:rFonts w:ascii="Adobe Garamond Pro" w:eastAsia="Times New Roman" w:hAnsi="Adobe Garamond Pro" w:cs="Times New Roman"/>
                <w:b w:val="0"/>
                <w:bCs w:val="0"/>
                <w:color w:val="1F1F1F"/>
                <w:sz w:val="16"/>
                <w:szCs w:val="16"/>
              </w:rPr>
            </w:pPr>
            <w:bookmarkStart w:id="9" w:name="_Hlk217435412"/>
            <w:bookmarkEnd w:id="8"/>
            <w:r w:rsidRPr="00B333D4">
              <w:rPr>
                <w:rFonts w:ascii="Adobe Garamond Pro" w:eastAsia="Times New Roman" w:hAnsi="Adobe Garamond Pro" w:cs="Times New Roman"/>
                <w:color w:val="1F1F1F"/>
                <w:sz w:val="16"/>
                <w:szCs w:val="16"/>
              </w:rPr>
              <w:t>Penerbit</w:t>
            </w:r>
          </w:p>
        </w:tc>
        <w:tc>
          <w:tcPr>
            <w:tcW w:w="2751" w:type="dxa"/>
            <w:hideMark/>
          </w:tcPr>
          <w:p w14:paraId="5FD7E0A7" w14:textId="77777777" w:rsidR="00B7232A" w:rsidRPr="00B333D4" w:rsidRDefault="00B7232A"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1F1F1F"/>
                <w:sz w:val="16"/>
                <w:szCs w:val="16"/>
              </w:rPr>
            </w:pPr>
            <w:r w:rsidRPr="00B333D4">
              <w:rPr>
                <w:rFonts w:ascii="Adobe Garamond Pro" w:eastAsia="Times New Roman" w:hAnsi="Adobe Garamond Pro" w:cs="Times New Roman"/>
                <w:color w:val="1F1F1F"/>
                <w:sz w:val="16"/>
                <w:szCs w:val="16"/>
              </w:rPr>
              <w:t>Nama Jurnal</w:t>
            </w:r>
          </w:p>
        </w:tc>
        <w:tc>
          <w:tcPr>
            <w:tcW w:w="1239" w:type="dxa"/>
            <w:hideMark/>
          </w:tcPr>
          <w:p w14:paraId="77D24FCA" w14:textId="77777777" w:rsidR="00B7232A" w:rsidRPr="00B333D4" w:rsidRDefault="00B7232A"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1F1F1F"/>
                <w:sz w:val="16"/>
                <w:szCs w:val="16"/>
              </w:rPr>
            </w:pPr>
            <w:r w:rsidRPr="00B333D4">
              <w:rPr>
                <w:rFonts w:ascii="Adobe Garamond Pro" w:eastAsia="Times New Roman" w:hAnsi="Adobe Garamond Pro" w:cs="Times New Roman"/>
                <w:color w:val="1F1F1F"/>
                <w:sz w:val="16"/>
                <w:szCs w:val="16"/>
              </w:rPr>
              <w:t>2007–2015</w:t>
            </w:r>
          </w:p>
        </w:tc>
        <w:tc>
          <w:tcPr>
            <w:tcW w:w="1322" w:type="dxa"/>
            <w:hideMark/>
          </w:tcPr>
          <w:p w14:paraId="5A4BF284" w14:textId="77777777" w:rsidR="00B7232A" w:rsidRPr="00B333D4" w:rsidRDefault="00B7232A"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1F1F1F"/>
                <w:sz w:val="16"/>
                <w:szCs w:val="16"/>
              </w:rPr>
            </w:pPr>
            <w:r w:rsidRPr="00B333D4">
              <w:rPr>
                <w:rFonts w:ascii="Adobe Garamond Pro" w:eastAsia="Times New Roman" w:hAnsi="Adobe Garamond Pro" w:cs="Times New Roman"/>
                <w:color w:val="1F1F1F"/>
                <w:sz w:val="16"/>
                <w:szCs w:val="16"/>
              </w:rPr>
              <w:t>2016–2020</w:t>
            </w:r>
          </w:p>
        </w:tc>
        <w:tc>
          <w:tcPr>
            <w:tcW w:w="1252" w:type="dxa"/>
            <w:hideMark/>
          </w:tcPr>
          <w:p w14:paraId="2EA38ECA" w14:textId="77777777" w:rsidR="00B7232A" w:rsidRPr="00B333D4" w:rsidRDefault="00B7232A"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1F1F1F"/>
                <w:sz w:val="16"/>
                <w:szCs w:val="16"/>
              </w:rPr>
            </w:pPr>
            <w:r w:rsidRPr="00B333D4">
              <w:rPr>
                <w:rFonts w:ascii="Adobe Garamond Pro" w:eastAsia="Times New Roman" w:hAnsi="Adobe Garamond Pro" w:cs="Times New Roman"/>
                <w:color w:val="1F1F1F"/>
                <w:sz w:val="16"/>
                <w:szCs w:val="16"/>
              </w:rPr>
              <w:t>2021–2025</w:t>
            </w:r>
          </w:p>
        </w:tc>
        <w:tc>
          <w:tcPr>
            <w:tcW w:w="694" w:type="dxa"/>
            <w:hideMark/>
          </w:tcPr>
          <w:p w14:paraId="53A9B73E" w14:textId="77777777" w:rsidR="00B7232A" w:rsidRPr="00B333D4" w:rsidRDefault="00B7232A"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1F1F1F"/>
                <w:sz w:val="16"/>
                <w:szCs w:val="16"/>
              </w:rPr>
            </w:pPr>
            <w:r w:rsidRPr="00B333D4">
              <w:rPr>
                <w:rFonts w:ascii="Adobe Garamond Pro" w:eastAsia="Times New Roman" w:hAnsi="Adobe Garamond Pro" w:cs="Times New Roman"/>
                <w:color w:val="1F1F1F"/>
                <w:sz w:val="16"/>
                <w:szCs w:val="16"/>
              </w:rPr>
              <w:t>Total</w:t>
            </w:r>
          </w:p>
        </w:tc>
        <w:tc>
          <w:tcPr>
            <w:tcW w:w="707" w:type="dxa"/>
            <w:hideMark/>
          </w:tcPr>
          <w:p w14:paraId="30E7B9E3" w14:textId="77777777" w:rsidR="00B7232A" w:rsidRPr="00B333D4" w:rsidRDefault="00B7232A" w:rsidP="005D6186">
            <w:pPr>
              <w:spacing w:after="200" w:line="240" w:lineRule="auto"/>
              <w:jc w:val="center"/>
              <w:cnfStyle w:val="100000000000" w:firstRow="1" w:lastRow="0" w:firstColumn="0" w:lastColumn="0" w:oddVBand="0" w:evenVBand="0" w:oddHBand="0" w:evenHBand="0" w:firstRowFirstColumn="0" w:firstRowLastColumn="0" w:lastRowFirstColumn="0" w:lastRowLastColumn="0"/>
              <w:rPr>
                <w:rFonts w:ascii="Adobe Garamond Pro" w:eastAsia="Times New Roman" w:hAnsi="Adobe Garamond Pro" w:cs="Times New Roman"/>
                <w:b w:val="0"/>
                <w:bCs w:val="0"/>
                <w:color w:val="1F1F1F"/>
                <w:sz w:val="16"/>
                <w:szCs w:val="16"/>
              </w:rPr>
            </w:pPr>
            <w:r w:rsidRPr="00B333D4">
              <w:rPr>
                <w:rFonts w:ascii="Adobe Garamond Pro" w:eastAsia="Times New Roman" w:hAnsi="Adobe Garamond Pro" w:cs="Times New Roman"/>
                <w:color w:val="1F1F1F"/>
                <w:sz w:val="16"/>
                <w:szCs w:val="16"/>
              </w:rPr>
              <w:t>%</w:t>
            </w:r>
          </w:p>
        </w:tc>
      </w:tr>
      <w:tr w:rsidR="005D6186" w:rsidRPr="00B333D4" w14:paraId="5052A332"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val="restart"/>
            <w:hideMark/>
          </w:tcPr>
          <w:p w14:paraId="7119C32F"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Elsevier</w:t>
            </w:r>
          </w:p>
        </w:tc>
        <w:tc>
          <w:tcPr>
            <w:tcW w:w="2751" w:type="dxa"/>
            <w:hideMark/>
          </w:tcPr>
          <w:p w14:paraId="0461E833"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Journal of Cleaner Production</w:t>
            </w:r>
          </w:p>
        </w:tc>
        <w:tc>
          <w:tcPr>
            <w:tcW w:w="1239" w:type="dxa"/>
            <w:hideMark/>
          </w:tcPr>
          <w:p w14:paraId="3B15A566"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322" w:type="dxa"/>
            <w:hideMark/>
          </w:tcPr>
          <w:p w14:paraId="48770EB9"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1252" w:type="dxa"/>
            <w:hideMark/>
          </w:tcPr>
          <w:p w14:paraId="1A7CB2CA"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5</w:t>
            </w:r>
          </w:p>
        </w:tc>
        <w:tc>
          <w:tcPr>
            <w:tcW w:w="694" w:type="dxa"/>
            <w:hideMark/>
          </w:tcPr>
          <w:p w14:paraId="3CE3B238"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10</w:t>
            </w:r>
          </w:p>
        </w:tc>
        <w:tc>
          <w:tcPr>
            <w:tcW w:w="707" w:type="dxa"/>
            <w:noWrap/>
            <w:hideMark/>
          </w:tcPr>
          <w:p w14:paraId="0638E916"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11%</w:t>
            </w:r>
          </w:p>
        </w:tc>
      </w:tr>
      <w:tr w:rsidR="005D6186" w:rsidRPr="00B333D4" w14:paraId="4AEED1BC"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0D4B8378"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24FF3EF4"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Forest Policy and Economics</w:t>
            </w:r>
          </w:p>
        </w:tc>
        <w:tc>
          <w:tcPr>
            <w:tcW w:w="1239" w:type="dxa"/>
            <w:hideMark/>
          </w:tcPr>
          <w:p w14:paraId="6F1EDE7F"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0E4A8F66"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5D6BE6D6"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5</w:t>
            </w:r>
          </w:p>
        </w:tc>
        <w:tc>
          <w:tcPr>
            <w:tcW w:w="694" w:type="dxa"/>
            <w:hideMark/>
          </w:tcPr>
          <w:p w14:paraId="0F839515"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8</w:t>
            </w:r>
          </w:p>
        </w:tc>
        <w:tc>
          <w:tcPr>
            <w:tcW w:w="707" w:type="dxa"/>
            <w:noWrap/>
            <w:hideMark/>
          </w:tcPr>
          <w:p w14:paraId="45FB0B57"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9%</w:t>
            </w:r>
          </w:p>
        </w:tc>
      </w:tr>
      <w:tr w:rsidR="005D6186" w:rsidRPr="00B333D4" w14:paraId="6C12F0F1"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46F0FDED"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264A44C4"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Land Use Policy</w:t>
            </w:r>
          </w:p>
        </w:tc>
        <w:tc>
          <w:tcPr>
            <w:tcW w:w="1239" w:type="dxa"/>
            <w:hideMark/>
          </w:tcPr>
          <w:p w14:paraId="0A3CDA9D"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322" w:type="dxa"/>
            <w:hideMark/>
          </w:tcPr>
          <w:p w14:paraId="5B9B707B"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75370868"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694" w:type="dxa"/>
            <w:hideMark/>
          </w:tcPr>
          <w:p w14:paraId="5B4A62EF"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7</w:t>
            </w:r>
          </w:p>
        </w:tc>
        <w:tc>
          <w:tcPr>
            <w:tcW w:w="707" w:type="dxa"/>
            <w:noWrap/>
            <w:hideMark/>
          </w:tcPr>
          <w:p w14:paraId="4FC24D0E"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8%</w:t>
            </w:r>
          </w:p>
        </w:tc>
      </w:tr>
      <w:tr w:rsidR="005D6186" w:rsidRPr="00B333D4" w14:paraId="70CB0115"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2DB24C1B"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2C1E79B5"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Global Environmental Change</w:t>
            </w:r>
          </w:p>
        </w:tc>
        <w:tc>
          <w:tcPr>
            <w:tcW w:w="1239" w:type="dxa"/>
            <w:hideMark/>
          </w:tcPr>
          <w:p w14:paraId="282FDCB0"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4F320DCD"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4E483E59"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694" w:type="dxa"/>
            <w:hideMark/>
          </w:tcPr>
          <w:p w14:paraId="448CC41C"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6</w:t>
            </w:r>
          </w:p>
        </w:tc>
        <w:tc>
          <w:tcPr>
            <w:tcW w:w="707" w:type="dxa"/>
            <w:noWrap/>
            <w:hideMark/>
          </w:tcPr>
          <w:p w14:paraId="674C2F99"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7%</w:t>
            </w:r>
          </w:p>
        </w:tc>
      </w:tr>
      <w:tr w:rsidR="005D6186" w:rsidRPr="00B333D4" w14:paraId="1379E15C" w14:textId="77777777" w:rsidTr="00E17944">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36F5702D"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00DD3768"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Renewable &amp; Sustainable Energy Reviews</w:t>
            </w:r>
          </w:p>
        </w:tc>
        <w:tc>
          <w:tcPr>
            <w:tcW w:w="1239" w:type="dxa"/>
            <w:hideMark/>
          </w:tcPr>
          <w:p w14:paraId="41A34814"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322" w:type="dxa"/>
            <w:hideMark/>
          </w:tcPr>
          <w:p w14:paraId="3011030E"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252" w:type="dxa"/>
            <w:hideMark/>
          </w:tcPr>
          <w:p w14:paraId="17AF0296"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694" w:type="dxa"/>
            <w:hideMark/>
          </w:tcPr>
          <w:p w14:paraId="3002E772"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707" w:type="dxa"/>
            <w:noWrap/>
            <w:hideMark/>
          </w:tcPr>
          <w:p w14:paraId="7A75C7AB"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3%</w:t>
            </w:r>
          </w:p>
        </w:tc>
      </w:tr>
      <w:tr w:rsidR="005D6186" w:rsidRPr="00B333D4" w14:paraId="56FCC25C"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val="restart"/>
            <w:hideMark/>
          </w:tcPr>
          <w:p w14:paraId="45C7522D"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MDPI</w:t>
            </w:r>
          </w:p>
        </w:tc>
        <w:tc>
          <w:tcPr>
            <w:tcW w:w="2751" w:type="dxa"/>
            <w:hideMark/>
          </w:tcPr>
          <w:p w14:paraId="0AA85454"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Sustainability</w:t>
            </w:r>
          </w:p>
        </w:tc>
        <w:tc>
          <w:tcPr>
            <w:tcW w:w="1239" w:type="dxa"/>
            <w:hideMark/>
          </w:tcPr>
          <w:p w14:paraId="76B7D508"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05748ECB"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1252" w:type="dxa"/>
            <w:hideMark/>
          </w:tcPr>
          <w:p w14:paraId="6396B106"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8</w:t>
            </w:r>
          </w:p>
        </w:tc>
        <w:tc>
          <w:tcPr>
            <w:tcW w:w="694" w:type="dxa"/>
            <w:hideMark/>
          </w:tcPr>
          <w:p w14:paraId="2712249F"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12</w:t>
            </w:r>
          </w:p>
        </w:tc>
        <w:tc>
          <w:tcPr>
            <w:tcW w:w="707" w:type="dxa"/>
            <w:noWrap/>
            <w:hideMark/>
          </w:tcPr>
          <w:p w14:paraId="7E13C1BF"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14%</w:t>
            </w:r>
          </w:p>
        </w:tc>
      </w:tr>
      <w:tr w:rsidR="005D6186" w:rsidRPr="00B333D4" w14:paraId="0F8CE5D3"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39B91492"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0C56F404"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Remote Sensing</w:t>
            </w:r>
          </w:p>
        </w:tc>
        <w:tc>
          <w:tcPr>
            <w:tcW w:w="1239" w:type="dxa"/>
            <w:hideMark/>
          </w:tcPr>
          <w:p w14:paraId="7EDC0229"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594BCE63"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4C399098"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694" w:type="dxa"/>
            <w:hideMark/>
          </w:tcPr>
          <w:p w14:paraId="576CEEE2"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6</w:t>
            </w:r>
          </w:p>
        </w:tc>
        <w:tc>
          <w:tcPr>
            <w:tcW w:w="707" w:type="dxa"/>
            <w:noWrap/>
            <w:hideMark/>
          </w:tcPr>
          <w:p w14:paraId="091541E0"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7%</w:t>
            </w:r>
          </w:p>
        </w:tc>
      </w:tr>
      <w:tr w:rsidR="005D6186" w:rsidRPr="00B333D4" w14:paraId="7880BBB3"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2B599304"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2669BF3F"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Land</w:t>
            </w:r>
          </w:p>
        </w:tc>
        <w:tc>
          <w:tcPr>
            <w:tcW w:w="1239" w:type="dxa"/>
            <w:hideMark/>
          </w:tcPr>
          <w:p w14:paraId="41DA8F9B"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1322" w:type="dxa"/>
            <w:hideMark/>
          </w:tcPr>
          <w:p w14:paraId="78C3FE3A"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252" w:type="dxa"/>
            <w:hideMark/>
          </w:tcPr>
          <w:p w14:paraId="11FCFDDF"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694" w:type="dxa"/>
            <w:hideMark/>
          </w:tcPr>
          <w:p w14:paraId="31A3FECC"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4</w:t>
            </w:r>
          </w:p>
        </w:tc>
        <w:tc>
          <w:tcPr>
            <w:tcW w:w="707" w:type="dxa"/>
            <w:noWrap/>
            <w:hideMark/>
          </w:tcPr>
          <w:p w14:paraId="7B72A715"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5%</w:t>
            </w:r>
          </w:p>
        </w:tc>
      </w:tr>
      <w:tr w:rsidR="005D6186" w:rsidRPr="00B333D4" w14:paraId="72CAC944"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val="restart"/>
            <w:hideMark/>
          </w:tcPr>
          <w:p w14:paraId="7DADB198"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Springer Nature</w:t>
            </w:r>
          </w:p>
        </w:tc>
        <w:tc>
          <w:tcPr>
            <w:tcW w:w="2751" w:type="dxa"/>
            <w:hideMark/>
          </w:tcPr>
          <w:p w14:paraId="0B82FFE5"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Scientific Reports</w:t>
            </w:r>
          </w:p>
        </w:tc>
        <w:tc>
          <w:tcPr>
            <w:tcW w:w="1239" w:type="dxa"/>
            <w:hideMark/>
          </w:tcPr>
          <w:p w14:paraId="3B9FA86B"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770CDB7F"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434D940B"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4</w:t>
            </w:r>
          </w:p>
        </w:tc>
        <w:tc>
          <w:tcPr>
            <w:tcW w:w="694" w:type="dxa"/>
            <w:hideMark/>
          </w:tcPr>
          <w:p w14:paraId="12353C0C"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7</w:t>
            </w:r>
          </w:p>
        </w:tc>
        <w:tc>
          <w:tcPr>
            <w:tcW w:w="707" w:type="dxa"/>
            <w:noWrap/>
            <w:hideMark/>
          </w:tcPr>
          <w:p w14:paraId="1F4D47DE"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8%</w:t>
            </w:r>
          </w:p>
        </w:tc>
      </w:tr>
      <w:tr w:rsidR="005D6186" w:rsidRPr="00B333D4" w14:paraId="3816F6EB"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689829B1"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30844C09"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Nature Communications / Nature</w:t>
            </w:r>
          </w:p>
        </w:tc>
        <w:tc>
          <w:tcPr>
            <w:tcW w:w="1239" w:type="dxa"/>
            <w:hideMark/>
          </w:tcPr>
          <w:p w14:paraId="5E65BBDA"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322" w:type="dxa"/>
            <w:hideMark/>
          </w:tcPr>
          <w:p w14:paraId="7FE47814"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7ADF87F4"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694" w:type="dxa"/>
            <w:hideMark/>
          </w:tcPr>
          <w:p w14:paraId="6C6FA309"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5</w:t>
            </w:r>
          </w:p>
        </w:tc>
        <w:tc>
          <w:tcPr>
            <w:tcW w:w="707" w:type="dxa"/>
            <w:noWrap/>
            <w:hideMark/>
          </w:tcPr>
          <w:p w14:paraId="11CE72CE"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6%</w:t>
            </w:r>
          </w:p>
        </w:tc>
      </w:tr>
      <w:tr w:rsidR="005D6186" w:rsidRPr="00B333D4" w14:paraId="039F2514"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640B640B"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2409EF90"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Int. J. of Life Cycle Assessment</w:t>
            </w:r>
          </w:p>
        </w:tc>
        <w:tc>
          <w:tcPr>
            <w:tcW w:w="1239" w:type="dxa"/>
            <w:hideMark/>
          </w:tcPr>
          <w:p w14:paraId="2C381A91"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1322" w:type="dxa"/>
            <w:hideMark/>
          </w:tcPr>
          <w:p w14:paraId="7F5FE970"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252" w:type="dxa"/>
            <w:hideMark/>
          </w:tcPr>
          <w:p w14:paraId="1D8B79CE"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694" w:type="dxa"/>
            <w:hideMark/>
          </w:tcPr>
          <w:p w14:paraId="0ACCA117"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707" w:type="dxa"/>
            <w:noWrap/>
            <w:hideMark/>
          </w:tcPr>
          <w:p w14:paraId="674CAD3F"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2%</w:t>
            </w:r>
          </w:p>
        </w:tc>
      </w:tr>
      <w:tr w:rsidR="005D6186" w:rsidRPr="00B333D4" w14:paraId="237754C4"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val="restart"/>
            <w:hideMark/>
          </w:tcPr>
          <w:p w14:paraId="0B5E25EB"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Wiley</w:t>
            </w:r>
          </w:p>
        </w:tc>
        <w:tc>
          <w:tcPr>
            <w:tcW w:w="2751" w:type="dxa"/>
            <w:hideMark/>
          </w:tcPr>
          <w:p w14:paraId="35E15DF2"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Business Strategy and the Environment</w:t>
            </w:r>
          </w:p>
        </w:tc>
        <w:tc>
          <w:tcPr>
            <w:tcW w:w="1239" w:type="dxa"/>
            <w:hideMark/>
          </w:tcPr>
          <w:p w14:paraId="21DDE1E3"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582F7431"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1252" w:type="dxa"/>
            <w:hideMark/>
          </w:tcPr>
          <w:p w14:paraId="2F895484"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694" w:type="dxa"/>
            <w:hideMark/>
          </w:tcPr>
          <w:p w14:paraId="427C2831"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5</w:t>
            </w:r>
          </w:p>
        </w:tc>
        <w:tc>
          <w:tcPr>
            <w:tcW w:w="707" w:type="dxa"/>
            <w:noWrap/>
            <w:hideMark/>
          </w:tcPr>
          <w:p w14:paraId="301EAA48"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6%</w:t>
            </w:r>
          </w:p>
        </w:tc>
      </w:tr>
      <w:tr w:rsidR="005D6186" w:rsidRPr="00B333D4" w14:paraId="6D619C4B"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33FB970E"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55DEC23C"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Conservation Letters / Biology</w:t>
            </w:r>
          </w:p>
        </w:tc>
        <w:tc>
          <w:tcPr>
            <w:tcW w:w="1239" w:type="dxa"/>
            <w:hideMark/>
          </w:tcPr>
          <w:p w14:paraId="5DCE62F1"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1322" w:type="dxa"/>
            <w:hideMark/>
          </w:tcPr>
          <w:p w14:paraId="51B6AE03"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1252" w:type="dxa"/>
            <w:hideMark/>
          </w:tcPr>
          <w:p w14:paraId="683E8998"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694" w:type="dxa"/>
            <w:hideMark/>
          </w:tcPr>
          <w:p w14:paraId="42318A9F"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707" w:type="dxa"/>
            <w:noWrap/>
            <w:hideMark/>
          </w:tcPr>
          <w:p w14:paraId="019FE004"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3%</w:t>
            </w:r>
          </w:p>
        </w:tc>
      </w:tr>
      <w:tr w:rsidR="005D6186" w:rsidRPr="00B333D4" w14:paraId="7D0BA6C5"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val="restart"/>
            <w:hideMark/>
          </w:tcPr>
          <w:p w14:paraId="54B5D4D8"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Emerald / Routledge</w:t>
            </w:r>
          </w:p>
        </w:tc>
        <w:tc>
          <w:tcPr>
            <w:tcW w:w="2751" w:type="dxa"/>
            <w:hideMark/>
          </w:tcPr>
          <w:p w14:paraId="5EB3418D"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Sustainability Accounting, Mgmt &amp; Policy</w:t>
            </w:r>
          </w:p>
        </w:tc>
        <w:tc>
          <w:tcPr>
            <w:tcW w:w="1239" w:type="dxa"/>
            <w:hideMark/>
          </w:tcPr>
          <w:p w14:paraId="1DE6AB52"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1322" w:type="dxa"/>
            <w:hideMark/>
          </w:tcPr>
          <w:p w14:paraId="35472E40"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252" w:type="dxa"/>
            <w:hideMark/>
          </w:tcPr>
          <w:p w14:paraId="06C60F57"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694" w:type="dxa"/>
            <w:hideMark/>
          </w:tcPr>
          <w:p w14:paraId="77473805"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707" w:type="dxa"/>
            <w:noWrap/>
            <w:hideMark/>
          </w:tcPr>
          <w:p w14:paraId="023D1999"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3%</w:t>
            </w:r>
          </w:p>
        </w:tc>
      </w:tr>
      <w:tr w:rsidR="005D6186" w:rsidRPr="00B333D4" w14:paraId="3E9E74F9" w14:textId="77777777" w:rsidTr="00E17944">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4309C982"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69844708"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J. of Agribusiness in Dev. &amp; Emerging Economies</w:t>
            </w:r>
          </w:p>
        </w:tc>
        <w:tc>
          <w:tcPr>
            <w:tcW w:w="1239" w:type="dxa"/>
            <w:hideMark/>
          </w:tcPr>
          <w:p w14:paraId="12A5F0B3"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030FC0FF"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252" w:type="dxa"/>
            <w:hideMark/>
          </w:tcPr>
          <w:p w14:paraId="0E6BB26F"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694" w:type="dxa"/>
            <w:hideMark/>
          </w:tcPr>
          <w:p w14:paraId="54A8FDDA"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707" w:type="dxa"/>
            <w:noWrap/>
            <w:hideMark/>
          </w:tcPr>
          <w:p w14:paraId="721F8782"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2%</w:t>
            </w:r>
          </w:p>
        </w:tc>
      </w:tr>
      <w:tr w:rsidR="005D6186" w:rsidRPr="00B333D4" w14:paraId="08FA528F"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val="restart"/>
            <w:hideMark/>
          </w:tcPr>
          <w:p w14:paraId="5FFA39EA"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IOP / PLOS</w:t>
            </w:r>
          </w:p>
        </w:tc>
        <w:tc>
          <w:tcPr>
            <w:tcW w:w="2751" w:type="dxa"/>
            <w:hideMark/>
          </w:tcPr>
          <w:p w14:paraId="1D8CAE76" w14:textId="77777777" w:rsidR="00B7232A" w:rsidRPr="00B333D4" w:rsidRDefault="00B7232A" w:rsidP="00A36C17">
            <w:pPr>
              <w:spacing w:after="0" w:line="240" w:lineRule="auto"/>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Environmental Research Letters</w:t>
            </w:r>
          </w:p>
        </w:tc>
        <w:tc>
          <w:tcPr>
            <w:tcW w:w="1239" w:type="dxa"/>
            <w:hideMark/>
          </w:tcPr>
          <w:p w14:paraId="390DA049"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1322" w:type="dxa"/>
            <w:hideMark/>
          </w:tcPr>
          <w:p w14:paraId="5ACAEBEE"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252" w:type="dxa"/>
            <w:hideMark/>
          </w:tcPr>
          <w:p w14:paraId="35C9FA61"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w:t>
            </w:r>
          </w:p>
        </w:tc>
        <w:tc>
          <w:tcPr>
            <w:tcW w:w="694" w:type="dxa"/>
            <w:hideMark/>
          </w:tcPr>
          <w:p w14:paraId="20972AD0"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3</w:t>
            </w:r>
          </w:p>
        </w:tc>
        <w:tc>
          <w:tcPr>
            <w:tcW w:w="707" w:type="dxa"/>
            <w:noWrap/>
            <w:hideMark/>
          </w:tcPr>
          <w:p w14:paraId="625243A7"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3%</w:t>
            </w:r>
          </w:p>
        </w:tc>
      </w:tr>
      <w:tr w:rsidR="005D6186" w:rsidRPr="00B333D4" w14:paraId="176F6A33" w14:textId="77777777" w:rsidTr="00E1794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244" w:type="dxa"/>
            <w:vMerge/>
            <w:hideMark/>
          </w:tcPr>
          <w:p w14:paraId="063DF937" w14:textId="77777777" w:rsidR="00B7232A" w:rsidRPr="00B333D4" w:rsidRDefault="00B7232A" w:rsidP="00A36C17">
            <w:pPr>
              <w:spacing w:after="0" w:line="240" w:lineRule="auto"/>
              <w:rPr>
                <w:rFonts w:ascii="Adobe Garamond Pro" w:eastAsia="Times New Roman" w:hAnsi="Adobe Garamond Pro" w:cs="Times New Roman"/>
                <w:color w:val="1F1F1F"/>
                <w:sz w:val="16"/>
                <w:szCs w:val="16"/>
              </w:rPr>
            </w:pPr>
          </w:p>
        </w:tc>
        <w:tc>
          <w:tcPr>
            <w:tcW w:w="2751" w:type="dxa"/>
            <w:hideMark/>
          </w:tcPr>
          <w:p w14:paraId="128E6E7A" w14:textId="77777777" w:rsidR="00B7232A" w:rsidRPr="00B333D4" w:rsidRDefault="00B7232A" w:rsidP="00A36C17">
            <w:pPr>
              <w:spacing w:after="0" w:line="240" w:lineRule="auto"/>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PLOS ONE</w:t>
            </w:r>
          </w:p>
        </w:tc>
        <w:tc>
          <w:tcPr>
            <w:tcW w:w="1239" w:type="dxa"/>
            <w:hideMark/>
          </w:tcPr>
          <w:p w14:paraId="7D30FA56"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1322" w:type="dxa"/>
            <w:hideMark/>
          </w:tcPr>
          <w:p w14:paraId="5B00A209"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1252" w:type="dxa"/>
            <w:hideMark/>
          </w:tcPr>
          <w:p w14:paraId="42552995"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0</w:t>
            </w:r>
          </w:p>
        </w:tc>
        <w:tc>
          <w:tcPr>
            <w:tcW w:w="694" w:type="dxa"/>
            <w:hideMark/>
          </w:tcPr>
          <w:p w14:paraId="58290BB3"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w:t>
            </w:r>
          </w:p>
        </w:tc>
        <w:tc>
          <w:tcPr>
            <w:tcW w:w="707" w:type="dxa"/>
            <w:noWrap/>
            <w:hideMark/>
          </w:tcPr>
          <w:p w14:paraId="39B2B250" w14:textId="77777777" w:rsidR="00B7232A" w:rsidRPr="00B333D4" w:rsidRDefault="00B7232A" w:rsidP="00A36C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1%</w:t>
            </w:r>
          </w:p>
        </w:tc>
      </w:tr>
      <w:tr w:rsidR="005D6186" w:rsidRPr="00B333D4" w14:paraId="49D23D86" w14:textId="77777777" w:rsidTr="00E17944">
        <w:trPr>
          <w:trHeight w:val="303"/>
          <w:jc w:val="center"/>
        </w:trPr>
        <w:tc>
          <w:tcPr>
            <w:cnfStyle w:val="001000000000" w:firstRow="0" w:lastRow="0" w:firstColumn="1" w:lastColumn="0" w:oddVBand="0" w:evenVBand="0" w:oddHBand="0" w:evenHBand="0" w:firstRowFirstColumn="0" w:firstRowLastColumn="0" w:lastRowFirstColumn="0" w:lastRowLastColumn="0"/>
            <w:tcW w:w="3995" w:type="dxa"/>
            <w:gridSpan w:val="2"/>
            <w:hideMark/>
          </w:tcPr>
          <w:p w14:paraId="2849F6C7" w14:textId="77777777" w:rsidR="00B7232A" w:rsidRPr="00B333D4" w:rsidRDefault="00B7232A" w:rsidP="00A36C17">
            <w:pPr>
              <w:spacing w:after="0" w:line="240" w:lineRule="auto"/>
              <w:jc w:val="center"/>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TOTAL</w:t>
            </w:r>
          </w:p>
        </w:tc>
        <w:tc>
          <w:tcPr>
            <w:tcW w:w="1239" w:type="dxa"/>
            <w:hideMark/>
          </w:tcPr>
          <w:p w14:paraId="388CF860"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19</w:t>
            </w:r>
          </w:p>
        </w:tc>
        <w:tc>
          <w:tcPr>
            <w:tcW w:w="1322" w:type="dxa"/>
            <w:hideMark/>
          </w:tcPr>
          <w:p w14:paraId="13214AAD"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26</w:t>
            </w:r>
          </w:p>
        </w:tc>
        <w:tc>
          <w:tcPr>
            <w:tcW w:w="1252" w:type="dxa"/>
            <w:hideMark/>
          </w:tcPr>
          <w:p w14:paraId="7F3A937A"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42</w:t>
            </w:r>
          </w:p>
        </w:tc>
        <w:tc>
          <w:tcPr>
            <w:tcW w:w="694" w:type="dxa"/>
            <w:hideMark/>
          </w:tcPr>
          <w:p w14:paraId="0538BE36" w14:textId="77777777" w:rsidR="00B7232A" w:rsidRPr="00B333D4" w:rsidRDefault="00B7232A" w:rsidP="00A36C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1F1F1F"/>
                <w:sz w:val="16"/>
                <w:szCs w:val="16"/>
              </w:rPr>
            </w:pPr>
            <w:r w:rsidRPr="00B333D4">
              <w:rPr>
                <w:rFonts w:ascii="Adobe Garamond Pro" w:eastAsia="Times New Roman" w:hAnsi="Adobe Garamond Pro" w:cs="Times New Roman"/>
                <w:color w:val="1F1F1F"/>
                <w:sz w:val="16"/>
                <w:szCs w:val="16"/>
              </w:rPr>
              <w:t>87</w:t>
            </w:r>
          </w:p>
        </w:tc>
        <w:tc>
          <w:tcPr>
            <w:tcW w:w="707" w:type="dxa"/>
            <w:noWrap/>
            <w:hideMark/>
          </w:tcPr>
          <w:p w14:paraId="6CE5E013" w14:textId="77777777" w:rsidR="00B7232A" w:rsidRPr="00B333D4" w:rsidRDefault="00B7232A" w:rsidP="00B333D4">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aramond Pro" w:eastAsia="Times New Roman" w:hAnsi="Adobe Garamond Pro" w:cs="Times New Roman"/>
                <w:color w:val="000000"/>
                <w:sz w:val="16"/>
                <w:szCs w:val="16"/>
              </w:rPr>
            </w:pPr>
            <w:r w:rsidRPr="00B333D4">
              <w:rPr>
                <w:rFonts w:ascii="Adobe Garamond Pro" w:eastAsia="Times New Roman" w:hAnsi="Adobe Garamond Pro" w:cs="Times New Roman"/>
                <w:color w:val="000000"/>
                <w:sz w:val="16"/>
                <w:szCs w:val="16"/>
              </w:rPr>
              <w:t>100%</w:t>
            </w:r>
          </w:p>
        </w:tc>
      </w:tr>
    </w:tbl>
    <w:bookmarkEnd w:id="9"/>
    <w:p w14:paraId="218F2B01" w14:textId="69D63522" w:rsidR="00B7232A" w:rsidRPr="00B333D4" w:rsidRDefault="00B333D4" w:rsidP="00B333D4">
      <w:pPr>
        <w:pStyle w:val="Caption"/>
        <w:rPr>
          <w:rFonts w:ascii="Adobe Garamond Pro" w:hAnsi="Adobe Garamond Pro"/>
          <w:i w:val="0"/>
          <w:iCs w:val="0"/>
          <w:color w:val="auto"/>
        </w:rPr>
      </w:pPr>
      <w:r w:rsidRPr="00B333D4">
        <w:rPr>
          <w:rFonts w:ascii="Adobe Garamond Pro" w:hAnsi="Adobe Garamond Pro"/>
          <w:i w:val="0"/>
          <w:iCs w:val="0"/>
          <w:color w:val="auto"/>
        </w:rPr>
        <w:t>Sumber: Data Penelitian</w:t>
      </w:r>
    </w:p>
    <w:p w14:paraId="6A8B2D06" w14:textId="60944139" w:rsidR="00FB2465" w:rsidRDefault="00B7232A" w:rsidP="00AD4153">
      <w:pPr>
        <w:pStyle w:val="BodyText"/>
        <w:spacing w:line="360" w:lineRule="auto"/>
        <w:ind w:left="0" w:right="49" w:firstLine="567"/>
        <w:rPr>
          <w:rFonts w:ascii="Adobe Garamond Pro" w:hAnsi="Adobe Garamond Pro"/>
          <w:sz w:val="22"/>
          <w:szCs w:val="22"/>
          <w:lang w:val="en-US"/>
        </w:rPr>
      </w:pPr>
      <w:bookmarkStart w:id="10" w:name="_Hlk217435810"/>
      <w:r>
        <w:rPr>
          <w:rFonts w:ascii="Adobe Garamond Pro" w:hAnsi="Adobe Garamond Pro"/>
          <w:sz w:val="22"/>
          <w:szCs w:val="22"/>
          <w:lang w:val="en-US"/>
        </w:rPr>
        <w:t>Dengan</w:t>
      </w:r>
      <w:r w:rsidRPr="00B7232A">
        <w:rPr>
          <w:rFonts w:ascii="Adobe Garamond Pro" w:hAnsi="Adobe Garamond Pro"/>
          <w:sz w:val="22"/>
          <w:szCs w:val="22"/>
          <w:lang w:val="en-US"/>
        </w:rPr>
        <w:t xml:space="preserve"> </w:t>
      </w:r>
      <w:r>
        <w:rPr>
          <w:rFonts w:ascii="Adobe Garamond Pro" w:hAnsi="Adobe Garamond Pro"/>
          <w:sz w:val="22"/>
          <w:szCs w:val="22"/>
          <w:lang w:val="en-US"/>
        </w:rPr>
        <w:t xml:space="preserve">lebih </w:t>
      </w:r>
      <w:r w:rsidRPr="00B7232A">
        <w:rPr>
          <w:rFonts w:ascii="Adobe Garamond Pro" w:hAnsi="Adobe Garamond Pro"/>
          <w:sz w:val="22"/>
          <w:szCs w:val="22"/>
          <w:lang w:val="en-US"/>
        </w:rPr>
        <w:t xml:space="preserve">fokus pada publikasi penerbit bereputasi, </w:t>
      </w:r>
      <w:r>
        <w:rPr>
          <w:rFonts w:ascii="Adobe Garamond Pro" w:hAnsi="Adobe Garamond Pro"/>
          <w:sz w:val="22"/>
          <w:szCs w:val="22"/>
          <w:lang w:val="en-US"/>
        </w:rPr>
        <w:t xml:space="preserve">akan semakin meningkatkan </w:t>
      </w:r>
      <w:r w:rsidRPr="00B7232A">
        <w:rPr>
          <w:rFonts w:ascii="Adobe Garamond Pro" w:hAnsi="Adobe Garamond Pro"/>
          <w:sz w:val="22"/>
          <w:szCs w:val="22"/>
          <w:lang w:val="en-US"/>
        </w:rPr>
        <w:t xml:space="preserve">kualitas diskusi global tentang akuntabilitas, khususnya pada industri kelapa sawit. Berdasarkan tingkat distribusi data yang diperoleh, terlihat lebih didominasi artikel yang berasal dari jurnal-jurnal seperti </w:t>
      </w:r>
      <w:r w:rsidRPr="00B7232A">
        <w:rPr>
          <w:rFonts w:ascii="Adobe Garamond Pro" w:hAnsi="Adobe Garamond Pro"/>
          <w:i/>
          <w:iCs/>
          <w:sz w:val="22"/>
          <w:szCs w:val="22"/>
          <w:lang w:val="en-US"/>
        </w:rPr>
        <w:t>Sustainability</w:t>
      </w:r>
      <w:r w:rsidRPr="00B7232A">
        <w:rPr>
          <w:rFonts w:ascii="Adobe Garamond Pro" w:hAnsi="Adobe Garamond Pro"/>
          <w:sz w:val="22"/>
          <w:szCs w:val="22"/>
          <w:lang w:val="en-US"/>
        </w:rPr>
        <w:t xml:space="preserve"> (14%), </w:t>
      </w:r>
      <w:r w:rsidRPr="00B7232A">
        <w:rPr>
          <w:rFonts w:ascii="Adobe Garamond Pro" w:hAnsi="Adobe Garamond Pro"/>
          <w:i/>
          <w:iCs/>
          <w:sz w:val="22"/>
          <w:szCs w:val="22"/>
          <w:lang w:val="en-US"/>
        </w:rPr>
        <w:t>Journal of Cleaner Production</w:t>
      </w:r>
      <w:r w:rsidRPr="00B7232A">
        <w:rPr>
          <w:rFonts w:ascii="Adobe Garamond Pro" w:hAnsi="Adobe Garamond Pro"/>
          <w:sz w:val="22"/>
          <w:szCs w:val="22"/>
          <w:lang w:val="en-US"/>
        </w:rPr>
        <w:t xml:space="preserve"> (11%), dan </w:t>
      </w:r>
      <w:r w:rsidRPr="00B7232A">
        <w:rPr>
          <w:rFonts w:ascii="Adobe Garamond Pro" w:hAnsi="Adobe Garamond Pro"/>
          <w:i/>
          <w:iCs/>
          <w:sz w:val="22"/>
          <w:szCs w:val="22"/>
          <w:lang w:val="en-US"/>
        </w:rPr>
        <w:t>Forest Policy and Economics</w:t>
      </w:r>
      <w:r w:rsidRPr="00B7232A">
        <w:rPr>
          <w:rFonts w:ascii="Adobe Garamond Pro" w:hAnsi="Adobe Garamond Pro"/>
          <w:sz w:val="22"/>
          <w:szCs w:val="22"/>
          <w:lang w:val="en-US"/>
        </w:rPr>
        <w:t xml:space="preserve"> (9%). Hal ini berarti bahwa penelitian mengenai deforestasi tidak lagi dipandang secara parsial, melainkan telah menjadi subjek multidisiplin yang menggabungkan manajemen lingkungan, ekonomi kehutanan, dan tata kelola korporasi. Kualitas pengungkapan dalam laporan keberlanjutan juga sangat bergantung pada standar internasional seperti GRI dan RSPO. Sehingga transformasi menuju industri sawit yang transparan sangat bergantung pada integrasi antara laporan manajerial dengan validasi data lapangan, mengingat sebagian besar praktik produksi masih belum memenuhi standar yang berlaku. Selain itu, dinamika dalam rantai pasok global membuktikan bahwa tata kelola pengungkapan bebas deforestasi sangat dipengaruhi oleh keterlibatan pihak tertentu yang perlu diverifikasi lebih lanjut </w:t>
      </w:r>
      <w:r w:rsidRPr="00B7232A">
        <w:rPr>
          <w:rFonts w:ascii="Adobe Garamond Pro" w:hAnsi="Adobe Garamond Pro"/>
          <w:sz w:val="22"/>
          <w:szCs w:val="22"/>
          <w:lang w:val="en-US"/>
        </w:rPr>
        <w:fldChar w:fldCharType="begin" w:fldLock="1"/>
      </w:r>
      <w:r w:rsidRPr="00B7232A">
        <w:rPr>
          <w:rFonts w:ascii="Adobe Garamond Pro" w:hAnsi="Adobe Garamond Pro"/>
          <w:sz w:val="22"/>
          <w:szCs w:val="22"/>
          <w:lang w:val="en-US"/>
        </w:rPr>
        <w:instrText>ADDIN CSL_CITATION {"citationItems":[{"id":"ITEM-1","itemData":{"ISSN":"2071-1050","author":[{"dropping-particle":"","family":"Supriatna","given":"Jajang","non-dropping-particle":"","parse-names":false,"suffix":""},{"dropping-particle":"","family":"Djumarno","given":"Djumarno","non-dropping-particle":"","parse-names":false,"suffix":""},{"dropping-particle":"","family":"Saluy","given":"Ahmad Badawy","non-dropping-particle":"","parse-names":false,"suffix":""},{"dropping-particle":"","family":"Kurniawan","given":"Deden","non-dropping-particle":"","parse-names":false,"suffix":""}],"container-title":"Sustainability","id":"ITEM-1","issue":"11","issued":{"date-parts":[["2024"]]},"page":"4383","publisher":"MDPI","title":"Sustainability Analysis of Smallholder Oil Palm Plantations in Several Provinces in Indonesia","type":"article-journal","volume":"16"},"uris":["http://www.mendeley.com/documents/?uuid=0ff3ab81-4a75-4c24-a896-baef6ef45ef8"]}],"mendeley":{"formattedCitation":"(Supriatna et al., 2024)","plainTextFormattedCitation":"(Supriatna et al., 2024)","previouslyFormattedCitation":"(Supriatna et al., 2024)"},"properties":{"noteIndex":0},"schema":"https://github.com/citation-style-language/schema/raw/master/csl-citation.json"}</w:instrText>
      </w:r>
      <w:r w:rsidRPr="00B7232A">
        <w:rPr>
          <w:rFonts w:ascii="Adobe Garamond Pro" w:hAnsi="Adobe Garamond Pro"/>
          <w:sz w:val="22"/>
          <w:szCs w:val="22"/>
          <w:lang w:val="en-US"/>
        </w:rPr>
        <w:fldChar w:fldCharType="separate"/>
      </w:r>
      <w:r w:rsidRPr="00B7232A">
        <w:rPr>
          <w:rFonts w:ascii="Adobe Garamond Pro" w:hAnsi="Adobe Garamond Pro"/>
          <w:noProof/>
          <w:sz w:val="22"/>
          <w:szCs w:val="22"/>
          <w:lang w:val="en-US"/>
        </w:rPr>
        <w:t>(Supriatna et al., 2024)</w:t>
      </w:r>
      <w:r w:rsidRPr="00B7232A">
        <w:rPr>
          <w:rFonts w:ascii="Adobe Garamond Pro" w:hAnsi="Adobe Garamond Pro"/>
          <w:sz w:val="22"/>
          <w:szCs w:val="22"/>
          <w:lang w:val="en-US"/>
        </w:rPr>
        <w:fldChar w:fldCharType="end"/>
      </w:r>
      <w:r w:rsidRPr="00B7232A">
        <w:rPr>
          <w:rFonts w:ascii="Adobe Garamond Pro" w:hAnsi="Adobe Garamond Pro"/>
          <w:sz w:val="22"/>
          <w:szCs w:val="22"/>
          <w:lang w:val="en-US"/>
        </w:rPr>
        <w:t>.</w:t>
      </w:r>
      <w:bookmarkStart w:id="11" w:name="_Hlk217435898"/>
      <w:bookmarkEnd w:id="10"/>
      <w:r w:rsidR="00AD4153">
        <w:rPr>
          <w:rFonts w:ascii="Adobe Garamond Pro" w:hAnsi="Adobe Garamond Pro"/>
          <w:sz w:val="22"/>
          <w:szCs w:val="22"/>
          <w:lang w:val="en-US"/>
        </w:rPr>
        <w:tab/>
      </w:r>
    </w:p>
    <w:p w14:paraId="5A07997B" w14:textId="291D77D7" w:rsidR="00B7232A" w:rsidRPr="00B7232A" w:rsidRDefault="00B7232A" w:rsidP="00AD4153">
      <w:pPr>
        <w:pStyle w:val="BodyText"/>
        <w:spacing w:before="1" w:line="360" w:lineRule="auto"/>
        <w:ind w:left="0" w:right="49" w:firstLine="567"/>
        <w:rPr>
          <w:rFonts w:ascii="Adobe Garamond Pro" w:hAnsi="Adobe Garamond Pro"/>
          <w:sz w:val="22"/>
          <w:szCs w:val="22"/>
          <w:lang w:val="en-US"/>
        </w:rPr>
      </w:pPr>
      <w:bookmarkStart w:id="12" w:name="_Hlk217646961"/>
      <w:r w:rsidRPr="00B7232A">
        <w:rPr>
          <w:rFonts w:ascii="Adobe Garamond Pro" w:hAnsi="Adobe Garamond Pro"/>
          <w:sz w:val="22"/>
          <w:szCs w:val="22"/>
          <w:lang w:val="en-US"/>
        </w:rPr>
        <w:t xml:space="preserve">Dari segi waktu, trend publikasi menunjukkan perkembangan yang selaras sejalan dengan dinamika regulasi pasar global. Fokus pada jumlah publikasi dari tahun 2021–2025 sebanyak 42 artikel, hal membuktikan bukti pentingnya memahami bagaimana industri merespons kebijakan lingkungan, sosial, dan tata kelola (ESG) yang semakin ketat. Dengan mengintegrasikan perspektif dari jurnal-jurnal terkemuka seperti Scientific Reports dan Nature Communications, studi ini tidak hanya bergantung pada narasi administratif dalam laporan keberlanjutan tetapi juga mempertimbangkan validasi ilmiah atas klaim </w:t>
      </w:r>
      <w:r w:rsidRPr="00B7232A">
        <w:rPr>
          <w:rFonts w:ascii="Adobe Garamond Pro" w:hAnsi="Adobe Garamond Pro"/>
          <w:sz w:val="22"/>
          <w:szCs w:val="22"/>
          <w:lang w:val="en-US"/>
        </w:rPr>
        <w:lastRenderedPageBreak/>
        <w:t xml:space="preserve">lingkungan yang dibuat oleh perusahaan. </w:t>
      </w:r>
    </w:p>
    <w:bookmarkEnd w:id="11"/>
    <w:bookmarkEnd w:id="12"/>
    <w:p w14:paraId="039969FA" w14:textId="77777777" w:rsidR="00B7232A" w:rsidRDefault="00B7232A" w:rsidP="00B7232A">
      <w:pPr>
        <w:pStyle w:val="BodyText"/>
        <w:ind w:left="0" w:right="49"/>
        <w:rPr>
          <w:lang w:val="en-US"/>
        </w:rPr>
      </w:pPr>
    </w:p>
    <w:p w14:paraId="0D312634" w14:textId="784B28AD" w:rsidR="00B7232A" w:rsidRPr="00DA0228" w:rsidRDefault="00B7232A" w:rsidP="00B7232A">
      <w:pPr>
        <w:pStyle w:val="ListParagraph"/>
        <w:numPr>
          <w:ilvl w:val="0"/>
          <w:numId w:val="10"/>
        </w:numPr>
        <w:tabs>
          <w:tab w:val="left" w:pos="0"/>
          <w:tab w:val="left" w:pos="360"/>
        </w:tabs>
        <w:suppressAutoHyphens/>
        <w:spacing w:after="0" w:line="360" w:lineRule="auto"/>
        <w:ind w:left="567" w:hanging="567"/>
        <w:jc w:val="both"/>
        <w:rPr>
          <w:rFonts w:ascii="Arial" w:hAnsi="Arial" w:cs="Arial"/>
          <w:bCs/>
          <w:i/>
          <w:iCs/>
          <w:color w:val="C45911" w:themeColor="accent2" w:themeShade="BF"/>
        </w:rPr>
      </w:pPr>
      <w:r w:rsidRPr="00DA0228">
        <w:rPr>
          <w:rFonts w:ascii="Arial" w:hAnsi="Arial" w:cs="Arial"/>
          <w:bCs/>
          <w:i/>
          <w:iCs/>
          <w:color w:val="C45911" w:themeColor="accent2" w:themeShade="BF"/>
        </w:rPr>
        <w:t xml:space="preserve">Pergeseran Metodologi dalam Audit Keberlanjutan </w:t>
      </w:r>
    </w:p>
    <w:p w14:paraId="2E8E2DB9" w14:textId="77777777" w:rsidR="00B7232A" w:rsidRPr="00B333D4" w:rsidRDefault="00B7232A" w:rsidP="00B7232A">
      <w:pPr>
        <w:pStyle w:val="Caption"/>
        <w:keepNext/>
        <w:spacing w:after="0"/>
        <w:jc w:val="center"/>
        <w:rPr>
          <w:rFonts w:ascii="Adobe Garamond Pro" w:hAnsi="Adobe Garamond Pro" w:cs="Times New Roman"/>
          <w:b/>
          <w:bCs/>
          <w:i w:val="0"/>
          <w:iCs w:val="0"/>
          <w:color w:val="000000" w:themeColor="text1"/>
        </w:rPr>
      </w:pPr>
      <w:bookmarkStart w:id="13" w:name="_Hlk217436027"/>
    </w:p>
    <w:p w14:paraId="5EB68544" w14:textId="322AC9D8" w:rsidR="00B7232A" w:rsidRPr="00B333D4" w:rsidRDefault="00B7232A" w:rsidP="008B5AE7">
      <w:pPr>
        <w:pStyle w:val="Caption"/>
        <w:keepNext/>
        <w:rPr>
          <w:rFonts w:ascii="Adobe Garamond Pro" w:hAnsi="Adobe Garamond Pro" w:cs="Times New Roman"/>
          <w:b/>
          <w:bCs/>
          <w:i w:val="0"/>
          <w:iCs w:val="0"/>
          <w:color w:val="000000" w:themeColor="text1"/>
        </w:rPr>
      </w:pPr>
      <w:bookmarkStart w:id="14" w:name="_Hlk217648582"/>
      <w:r w:rsidRPr="00B333D4">
        <w:rPr>
          <w:rFonts w:ascii="Adobe Garamond Pro" w:hAnsi="Adobe Garamond Pro" w:cs="Times New Roman"/>
          <w:b/>
          <w:bCs/>
          <w:i w:val="0"/>
          <w:iCs w:val="0"/>
          <w:color w:val="000000" w:themeColor="text1"/>
        </w:rPr>
        <w:t xml:space="preserve">Tabel 3 </w:t>
      </w:r>
      <w:r w:rsidRPr="008B5AE7">
        <w:rPr>
          <w:rFonts w:ascii="Adobe Garamond Pro" w:hAnsi="Adobe Garamond Pro" w:cs="Times New Roman"/>
          <w:i w:val="0"/>
          <w:iCs w:val="0"/>
          <w:color w:val="000000" w:themeColor="text1"/>
        </w:rPr>
        <w:t>Pemetaan Metode Penelitian Artikel Palm Oil &amp; Deforestation</w:t>
      </w:r>
    </w:p>
    <w:tbl>
      <w:tblPr>
        <w:tblStyle w:val="PlainTable4"/>
        <w:tblW w:w="9923" w:type="dxa"/>
        <w:jc w:val="center"/>
        <w:tblLayout w:type="fixed"/>
        <w:tblLook w:val="04A0" w:firstRow="1" w:lastRow="0" w:firstColumn="1" w:lastColumn="0" w:noHBand="0" w:noVBand="1"/>
      </w:tblPr>
      <w:tblGrid>
        <w:gridCol w:w="1306"/>
        <w:gridCol w:w="2522"/>
        <w:gridCol w:w="1338"/>
        <w:gridCol w:w="1378"/>
        <w:gridCol w:w="1428"/>
        <w:gridCol w:w="963"/>
        <w:gridCol w:w="988"/>
      </w:tblGrid>
      <w:tr w:rsidR="003053C2" w:rsidRPr="003053C2" w14:paraId="4AF09163" w14:textId="77777777" w:rsidTr="00B333D4">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306" w:type="dxa"/>
            <w:hideMark/>
          </w:tcPr>
          <w:p w14:paraId="21B289BD" w14:textId="77777777" w:rsidR="005D6186" w:rsidRPr="003053C2" w:rsidRDefault="005D6186" w:rsidP="003053C2">
            <w:pPr>
              <w:pStyle w:val="BodyText"/>
              <w:ind w:left="0" w:right="49"/>
              <w:jc w:val="center"/>
              <w:rPr>
                <w:rFonts w:ascii="Adobe Garamond Pro" w:hAnsi="Adobe Garamond Pro"/>
                <w:sz w:val="16"/>
                <w:szCs w:val="16"/>
              </w:rPr>
            </w:pPr>
            <w:bookmarkStart w:id="15" w:name="_Hlk217648274"/>
            <w:bookmarkEnd w:id="13"/>
            <w:bookmarkEnd w:id="14"/>
            <w:r w:rsidRPr="003053C2">
              <w:rPr>
                <w:rFonts w:ascii="Adobe Garamond Pro" w:hAnsi="Adobe Garamond Pro"/>
                <w:sz w:val="16"/>
                <w:szCs w:val="16"/>
              </w:rPr>
              <w:t>Metode Penelitian</w:t>
            </w:r>
          </w:p>
        </w:tc>
        <w:tc>
          <w:tcPr>
            <w:tcW w:w="2522" w:type="dxa"/>
            <w:hideMark/>
          </w:tcPr>
          <w:p w14:paraId="6574F60D" w14:textId="77777777" w:rsidR="00022890" w:rsidRDefault="00FB2465" w:rsidP="00FB2465">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b w:val="0"/>
                <w:bCs w:val="0"/>
                <w:sz w:val="16"/>
                <w:szCs w:val="16"/>
              </w:rPr>
            </w:pPr>
            <w:r>
              <w:rPr>
                <w:rFonts w:ascii="Adobe Garamond Pro" w:hAnsi="Adobe Garamond Pro"/>
                <w:sz w:val="16"/>
                <w:szCs w:val="16"/>
              </w:rPr>
              <w:t xml:space="preserve">Teknik </w:t>
            </w:r>
          </w:p>
          <w:p w14:paraId="595AEB81" w14:textId="563C6BE0" w:rsidR="00FB2465" w:rsidRPr="00FB2465" w:rsidRDefault="00FB2465" w:rsidP="00FB2465">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b w:val="0"/>
                <w:bCs w:val="0"/>
                <w:i/>
                <w:iCs/>
                <w:sz w:val="16"/>
                <w:szCs w:val="16"/>
              </w:rPr>
            </w:pPr>
            <w:r>
              <w:rPr>
                <w:rFonts w:ascii="Adobe Garamond Pro" w:hAnsi="Adobe Garamond Pro"/>
                <w:sz w:val="16"/>
                <w:szCs w:val="16"/>
              </w:rPr>
              <w:t>Penelitian</w:t>
            </w:r>
          </w:p>
        </w:tc>
        <w:tc>
          <w:tcPr>
            <w:tcW w:w="1338" w:type="dxa"/>
            <w:hideMark/>
          </w:tcPr>
          <w:p w14:paraId="10099785" w14:textId="3AEA2502" w:rsidR="005D6186" w:rsidRPr="003053C2" w:rsidRDefault="005D6186" w:rsidP="003053C2">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2007</w:t>
            </w:r>
            <w:r w:rsidRPr="003053C2">
              <w:rPr>
                <w:rFonts w:ascii="Adobe Garamond Pro" w:hAnsi="Adobe Garamond Pro"/>
                <w:b w:val="0"/>
                <w:bCs w:val="0"/>
                <w:sz w:val="16"/>
                <w:szCs w:val="16"/>
              </w:rPr>
              <w:t>-</w:t>
            </w:r>
            <w:r w:rsidRPr="003053C2">
              <w:rPr>
                <w:rFonts w:ascii="Adobe Garamond Pro" w:hAnsi="Adobe Garamond Pro"/>
                <w:sz w:val="16"/>
                <w:szCs w:val="16"/>
              </w:rPr>
              <w:t>2015</w:t>
            </w:r>
          </w:p>
        </w:tc>
        <w:tc>
          <w:tcPr>
            <w:tcW w:w="1378" w:type="dxa"/>
            <w:hideMark/>
          </w:tcPr>
          <w:p w14:paraId="5B06931F" w14:textId="77777777" w:rsidR="005D6186" w:rsidRPr="003053C2" w:rsidRDefault="005D6186" w:rsidP="003053C2">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2016–2020</w:t>
            </w:r>
          </w:p>
        </w:tc>
        <w:tc>
          <w:tcPr>
            <w:tcW w:w="1428" w:type="dxa"/>
            <w:hideMark/>
          </w:tcPr>
          <w:p w14:paraId="2646E2E1" w14:textId="77777777" w:rsidR="005D6186" w:rsidRPr="003053C2" w:rsidRDefault="005D6186" w:rsidP="003053C2">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2021–2025</w:t>
            </w:r>
          </w:p>
        </w:tc>
        <w:tc>
          <w:tcPr>
            <w:tcW w:w="963" w:type="dxa"/>
            <w:hideMark/>
          </w:tcPr>
          <w:p w14:paraId="087AAAAF" w14:textId="77777777" w:rsidR="005D6186" w:rsidRPr="003053C2" w:rsidRDefault="005D6186" w:rsidP="003053C2">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Total</w:t>
            </w:r>
          </w:p>
        </w:tc>
        <w:tc>
          <w:tcPr>
            <w:tcW w:w="988" w:type="dxa"/>
            <w:hideMark/>
          </w:tcPr>
          <w:p w14:paraId="64F29FFD" w14:textId="77777777" w:rsidR="005D6186" w:rsidRPr="003053C2" w:rsidRDefault="005D6186" w:rsidP="00B333D4">
            <w:pPr>
              <w:pStyle w:val="BodyText"/>
              <w:ind w:right="49"/>
              <w:jc w:val="left"/>
              <w:cnfStyle w:val="100000000000" w:firstRow="1"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w:t>
            </w:r>
          </w:p>
        </w:tc>
      </w:tr>
      <w:tr w:rsidR="003053C2" w:rsidRPr="003053C2" w14:paraId="1D48FA78" w14:textId="77777777" w:rsidTr="00B333D4">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306" w:type="dxa"/>
            <w:hideMark/>
          </w:tcPr>
          <w:p w14:paraId="0A067310" w14:textId="77777777" w:rsidR="005D6186" w:rsidRPr="003053C2" w:rsidRDefault="005D6186" w:rsidP="00022890">
            <w:pPr>
              <w:pStyle w:val="BodyText"/>
              <w:ind w:left="0" w:right="49"/>
              <w:jc w:val="center"/>
              <w:rPr>
                <w:rFonts w:ascii="Adobe Garamond Pro" w:hAnsi="Adobe Garamond Pro"/>
                <w:sz w:val="16"/>
                <w:szCs w:val="16"/>
              </w:rPr>
            </w:pPr>
            <w:r w:rsidRPr="003053C2">
              <w:rPr>
                <w:rFonts w:ascii="Adobe Garamond Pro" w:hAnsi="Adobe Garamond Pro"/>
                <w:sz w:val="16"/>
                <w:szCs w:val="16"/>
              </w:rPr>
              <w:t>Kuantitatif</w:t>
            </w:r>
          </w:p>
        </w:tc>
        <w:tc>
          <w:tcPr>
            <w:tcW w:w="2522" w:type="dxa"/>
            <w:hideMark/>
          </w:tcPr>
          <w:p w14:paraId="3DE9F051" w14:textId="77777777" w:rsidR="005D6186" w:rsidRDefault="005D6186" w:rsidP="00022890">
            <w:pPr>
              <w:pStyle w:val="BodyText"/>
              <w:ind w:left="0" w:right="-106"/>
              <w:cnfStyle w:val="000000100000" w:firstRow="0" w:lastRow="0" w:firstColumn="0" w:lastColumn="0" w:oddVBand="0" w:evenVBand="0" w:oddHBand="1" w:evenHBand="0" w:firstRowFirstColumn="0" w:firstRowLastColumn="0" w:lastRowFirstColumn="0" w:lastRowLastColumn="0"/>
              <w:rPr>
                <w:rFonts w:ascii="Adobe Garamond Pro" w:hAnsi="Adobe Garamond Pro"/>
                <w:i/>
                <w:iCs/>
                <w:sz w:val="16"/>
                <w:szCs w:val="16"/>
              </w:rPr>
            </w:pPr>
            <w:r w:rsidRPr="003053C2">
              <w:rPr>
                <w:rFonts w:ascii="Adobe Garamond Pro" w:hAnsi="Adobe Garamond Pro"/>
                <w:sz w:val="16"/>
                <w:szCs w:val="16"/>
              </w:rPr>
              <w:t xml:space="preserve">Pemodelan Spasial (GIS), Survei Petani, Statistik Regresi, </w:t>
            </w:r>
            <w:r w:rsidRPr="003053C2">
              <w:rPr>
                <w:rFonts w:ascii="Adobe Garamond Pro" w:hAnsi="Adobe Garamond Pro"/>
                <w:i/>
                <w:iCs/>
                <w:sz w:val="16"/>
                <w:szCs w:val="16"/>
              </w:rPr>
              <w:t>Remote Sensing</w:t>
            </w:r>
          </w:p>
          <w:p w14:paraId="3478D619" w14:textId="77777777" w:rsidR="00022890" w:rsidRPr="003053C2" w:rsidRDefault="00022890" w:rsidP="00022890">
            <w:pPr>
              <w:pStyle w:val="BodyText"/>
              <w:ind w:left="0" w:right="-106"/>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p>
        </w:tc>
        <w:tc>
          <w:tcPr>
            <w:tcW w:w="1338" w:type="dxa"/>
            <w:hideMark/>
          </w:tcPr>
          <w:p w14:paraId="2CD7E527" w14:textId="717EDB23" w:rsidR="00022890" w:rsidRDefault="005D6186" w:rsidP="00022890">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6</w:t>
            </w:r>
          </w:p>
          <w:p w14:paraId="1ABA5A25" w14:textId="77777777" w:rsidR="00022890" w:rsidRPr="00022890" w:rsidRDefault="00022890" w:rsidP="00022890">
            <w:pPr>
              <w:cnfStyle w:val="000000100000" w:firstRow="0" w:lastRow="0" w:firstColumn="0" w:lastColumn="0" w:oddVBand="0" w:evenVBand="0" w:oddHBand="1" w:evenHBand="0" w:firstRowFirstColumn="0" w:firstRowLastColumn="0" w:lastRowFirstColumn="0" w:lastRowLastColumn="0"/>
              <w:rPr>
                <w:lang w:val="id"/>
              </w:rPr>
            </w:pPr>
          </w:p>
        </w:tc>
        <w:tc>
          <w:tcPr>
            <w:tcW w:w="1378" w:type="dxa"/>
            <w:hideMark/>
          </w:tcPr>
          <w:p w14:paraId="7A2107D8"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13</w:t>
            </w:r>
          </w:p>
        </w:tc>
        <w:tc>
          <w:tcPr>
            <w:tcW w:w="1428" w:type="dxa"/>
            <w:hideMark/>
          </w:tcPr>
          <w:p w14:paraId="6036D178"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22</w:t>
            </w:r>
          </w:p>
        </w:tc>
        <w:tc>
          <w:tcPr>
            <w:tcW w:w="963" w:type="dxa"/>
            <w:hideMark/>
          </w:tcPr>
          <w:p w14:paraId="320EC6EE"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41</w:t>
            </w:r>
          </w:p>
        </w:tc>
        <w:tc>
          <w:tcPr>
            <w:tcW w:w="988" w:type="dxa"/>
            <w:hideMark/>
          </w:tcPr>
          <w:p w14:paraId="7BF2663C" w14:textId="77777777" w:rsidR="005D6186" w:rsidRPr="003053C2" w:rsidRDefault="005D6186" w:rsidP="00B333D4">
            <w:pPr>
              <w:pStyle w:val="BodyText"/>
              <w:ind w:right="49"/>
              <w:jc w:val="left"/>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47%</w:t>
            </w:r>
          </w:p>
        </w:tc>
      </w:tr>
      <w:tr w:rsidR="003053C2" w:rsidRPr="003053C2" w14:paraId="2D40F0A8" w14:textId="77777777" w:rsidTr="00B333D4">
        <w:trPr>
          <w:trHeight w:val="261"/>
          <w:jc w:val="center"/>
        </w:trPr>
        <w:tc>
          <w:tcPr>
            <w:cnfStyle w:val="001000000000" w:firstRow="0" w:lastRow="0" w:firstColumn="1" w:lastColumn="0" w:oddVBand="0" w:evenVBand="0" w:oddHBand="0" w:evenHBand="0" w:firstRowFirstColumn="0" w:firstRowLastColumn="0" w:lastRowFirstColumn="0" w:lastRowLastColumn="0"/>
            <w:tcW w:w="1306" w:type="dxa"/>
            <w:hideMark/>
          </w:tcPr>
          <w:p w14:paraId="13BD8C03" w14:textId="77777777" w:rsidR="005D6186" w:rsidRPr="003053C2" w:rsidRDefault="005D6186" w:rsidP="00022890">
            <w:pPr>
              <w:pStyle w:val="BodyText"/>
              <w:ind w:left="0" w:right="49"/>
              <w:jc w:val="center"/>
              <w:rPr>
                <w:rFonts w:ascii="Adobe Garamond Pro" w:hAnsi="Adobe Garamond Pro"/>
                <w:sz w:val="16"/>
                <w:szCs w:val="16"/>
              </w:rPr>
            </w:pPr>
            <w:r w:rsidRPr="003053C2">
              <w:rPr>
                <w:rFonts w:ascii="Adobe Garamond Pro" w:hAnsi="Adobe Garamond Pro"/>
                <w:sz w:val="16"/>
                <w:szCs w:val="16"/>
              </w:rPr>
              <w:t>Kualitatif</w:t>
            </w:r>
          </w:p>
        </w:tc>
        <w:tc>
          <w:tcPr>
            <w:tcW w:w="2522" w:type="dxa"/>
            <w:hideMark/>
          </w:tcPr>
          <w:p w14:paraId="69B10E54" w14:textId="77777777" w:rsidR="005D6186" w:rsidRPr="003053C2" w:rsidRDefault="005D6186" w:rsidP="00022890">
            <w:pPr>
              <w:pStyle w:val="BodyText"/>
              <w:ind w:left="0" w:right="-106"/>
              <w:cnfStyle w:val="000000000000" w:firstRow="0" w:lastRow="0" w:firstColumn="0" w:lastColumn="0" w:oddVBand="0" w:evenVBand="0" w:oddHBand="0" w:evenHBand="0" w:firstRowFirstColumn="0" w:firstRowLastColumn="0" w:lastRowFirstColumn="0" w:lastRowLastColumn="0"/>
              <w:rPr>
                <w:rFonts w:ascii="Adobe Garamond Pro" w:hAnsi="Adobe Garamond Pro"/>
                <w:i/>
                <w:iCs/>
                <w:sz w:val="16"/>
                <w:szCs w:val="16"/>
              </w:rPr>
            </w:pPr>
            <w:r w:rsidRPr="003053C2">
              <w:rPr>
                <w:rFonts w:ascii="Adobe Garamond Pro" w:hAnsi="Adobe Garamond Pro"/>
                <w:i/>
                <w:iCs/>
                <w:sz w:val="16"/>
                <w:szCs w:val="16"/>
              </w:rPr>
              <w:t>Content Analysis</w:t>
            </w:r>
            <w:r w:rsidRPr="003053C2">
              <w:rPr>
                <w:rFonts w:ascii="Adobe Garamond Pro" w:hAnsi="Adobe Garamond Pro"/>
                <w:sz w:val="16"/>
                <w:szCs w:val="16"/>
              </w:rPr>
              <w:t xml:space="preserve"> Laporan Keberlanjutan, Wawancara Mendalam, Studi Kasus</w:t>
            </w:r>
          </w:p>
        </w:tc>
        <w:tc>
          <w:tcPr>
            <w:tcW w:w="1338" w:type="dxa"/>
            <w:hideMark/>
          </w:tcPr>
          <w:p w14:paraId="487F920B" w14:textId="77777777" w:rsidR="005D6186" w:rsidRPr="003053C2" w:rsidRDefault="005D6186"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9</w:t>
            </w:r>
          </w:p>
        </w:tc>
        <w:tc>
          <w:tcPr>
            <w:tcW w:w="1378" w:type="dxa"/>
            <w:hideMark/>
          </w:tcPr>
          <w:p w14:paraId="61128E8E" w14:textId="77777777" w:rsidR="005D6186" w:rsidRPr="003053C2" w:rsidRDefault="005D6186"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8</w:t>
            </w:r>
          </w:p>
        </w:tc>
        <w:tc>
          <w:tcPr>
            <w:tcW w:w="1428" w:type="dxa"/>
            <w:hideMark/>
          </w:tcPr>
          <w:p w14:paraId="1FF3C045" w14:textId="77777777" w:rsidR="005D6186" w:rsidRPr="003053C2" w:rsidRDefault="005D6186"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11</w:t>
            </w:r>
          </w:p>
        </w:tc>
        <w:tc>
          <w:tcPr>
            <w:tcW w:w="963" w:type="dxa"/>
            <w:hideMark/>
          </w:tcPr>
          <w:p w14:paraId="6523D302" w14:textId="77777777" w:rsidR="005D6186" w:rsidRPr="003053C2" w:rsidRDefault="005D6186"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28</w:t>
            </w:r>
          </w:p>
        </w:tc>
        <w:tc>
          <w:tcPr>
            <w:tcW w:w="988" w:type="dxa"/>
            <w:hideMark/>
          </w:tcPr>
          <w:p w14:paraId="2A62D98E" w14:textId="77777777" w:rsidR="005D6186" w:rsidRPr="003053C2" w:rsidRDefault="005D6186" w:rsidP="00B333D4">
            <w:pPr>
              <w:pStyle w:val="BodyText"/>
              <w:ind w:right="49"/>
              <w:jc w:val="left"/>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32%</w:t>
            </w:r>
          </w:p>
        </w:tc>
      </w:tr>
      <w:tr w:rsidR="003053C2" w:rsidRPr="003053C2" w14:paraId="2D0C026F" w14:textId="77777777" w:rsidTr="00052B9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306" w:type="dxa"/>
            <w:hideMark/>
          </w:tcPr>
          <w:p w14:paraId="2F5D2F3B" w14:textId="77777777" w:rsidR="005D6186" w:rsidRPr="003053C2" w:rsidRDefault="005D6186" w:rsidP="00022890">
            <w:pPr>
              <w:pStyle w:val="BodyText"/>
              <w:ind w:left="0" w:right="49"/>
              <w:jc w:val="center"/>
              <w:rPr>
                <w:rFonts w:ascii="Adobe Garamond Pro" w:hAnsi="Adobe Garamond Pro"/>
                <w:sz w:val="16"/>
                <w:szCs w:val="16"/>
              </w:rPr>
            </w:pPr>
            <w:r w:rsidRPr="003053C2">
              <w:rPr>
                <w:rFonts w:ascii="Adobe Garamond Pro" w:hAnsi="Adobe Garamond Pro"/>
                <w:sz w:val="16"/>
                <w:szCs w:val="16"/>
              </w:rPr>
              <w:t>Campuran (</w:t>
            </w:r>
            <w:r w:rsidRPr="003053C2">
              <w:rPr>
                <w:rFonts w:ascii="Adobe Garamond Pro" w:hAnsi="Adobe Garamond Pro"/>
                <w:i/>
                <w:iCs/>
                <w:sz w:val="16"/>
                <w:szCs w:val="16"/>
              </w:rPr>
              <w:t>Mixed Methods</w:t>
            </w:r>
            <w:r w:rsidRPr="003053C2">
              <w:rPr>
                <w:rFonts w:ascii="Adobe Garamond Pro" w:hAnsi="Adobe Garamond Pro"/>
                <w:sz w:val="16"/>
                <w:szCs w:val="16"/>
              </w:rPr>
              <w:t>)</w:t>
            </w:r>
          </w:p>
        </w:tc>
        <w:tc>
          <w:tcPr>
            <w:tcW w:w="2522" w:type="dxa"/>
            <w:hideMark/>
          </w:tcPr>
          <w:p w14:paraId="24E9A7E0" w14:textId="77777777" w:rsidR="005D6186" w:rsidRPr="003053C2" w:rsidRDefault="005D6186" w:rsidP="00022890">
            <w:pPr>
              <w:pStyle w:val="BodyText"/>
              <w:ind w:left="0" w:right="-106"/>
              <w:cnfStyle w:val="000000100000" w:firstRow="0" w:lastRow="0" w:firstColumn="0" w:lastColumn="0" w:oddVBand="0" w:evenVBand="0" w:oddHBand="1" w:evenHBand="0" w:firstRowFirstColumn="0" w:firstRowLastColumn="0" w:lastRowFirstColumn="0" w:lastRowLastColumn="0"/>
              <w:rPr>
                <w:rFonts w:ascii="Adobe Garamond Pro" w:hAnsi="Adobe Garamond Pro"/>
                <w:i/>
                <w:iCs/>
                <w:sz w:val="16"/>
                <w:szCs w:val="16"/>
              </w:rPr>
            </w:pPr>
            <w:r w:rsidRPr="003053C2">
              <w:rPr>
                <w:rFonts w:ascii="Adobe Garamond Pro" w:hAnsi="Adobe Garamond Pro"/>
                <w:i/>
                <w:iCs/>
                <w:sz w:val="16"/>
                <w:szCs w:val="16"/>
              </w:rPr>
              <w:t>Literature Review</w:t>
            </w:r>
            <w:r w:rsidRPr="003053C2">
              <w:rPr>
                <w:rFonts w:ascii="Adobe Garamond Pro" w:hAnsi="Adobe Garamond Pro"/>
                <w:sz w:val="16"/>
                <w:szCs w:val="16"/>
              </w:rPr>
              <w:t xml:space="preserve"> Sistematis, Analisis Multidisipliner, Bibliometrik</w:t>
            </w:r>
          </w:p>
        </w:tc>
        <w:tc>
          <w:tcPr>
            <w:tcW w:w="1338" w:type="dxa"/>
            <w:hideMark/>
          </w:tcPr>
          <w:p w14:paraId="32DA141E"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4</w:t>
            </w:r>
          </w:p>
        </w:tc>
        <w:tc>
          <w:tcPr>
            <w:tcW w:w="1378" w:type="dxa"/>
            <w:hideMark/>
          </w:tcPr>
          <w:p w14:paraId="73429145"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5</w:t>
            </w:r>
          </w:p>
        </w:tc>
        <w:tc>
          <w:tcPr>
            <w:tcW w:w="1428" w:type="dxa"/>
            <w:hideMark/>
          </w:tcPr>
          <w:p w14:paraId="5BCC041E"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9</w:t>
            </w:r>
          </w:p>
        </w:tc>
        <w:tc>
          <w:tcPr>
            <w:tcW w:w="963" w:type="dxa"/>
            <w:hideMark/>
          </w:tcPr>
          <w:p w14:paraId="3CC6DD13" w14:textId="77777777" w:rsidR="005D6186" w:rsidRPr="003053C2" w:rsidRDefault="005D6186" w:rsidP="003053C2">
            <w:pPr>
              <w:pStyle w:val="BodyText"/>
              <w:ind w:right="49"/>
              <w:jc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18</w:t>
            </w:r>
          </w:p>
        </w:tc>
        <w:tc>
          <w:tcPr>
            <w:tcW w:w="988" w:type="dxa"/>
            <w:hideMark/>
          </w:tcPr>
          <w:p w14:paraId="341BE424" w14:textId="77777777" w:rsidR="005D6186" w:rsidRPr="003053C2" w:rsidRDefault="005D6186" w:rsidP="00B333D4">
            <w:pPr>
              <w:pStyle w:val="BodyText"/>
              <w:ind w:right="49"/>
              <w:jc w:val="left"/>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3053C2">
              <w:rPr>
                <w:rFonts w:ascii="Adobe Garamond Pro" w:hAnsi="Adobe Garamond Pro"/>
                <w:sz w:val="16"/>
                <w:szCs w:val="16"/>
              </w:rPr>
              <w:t>21%</w:t>
            </w:r>
          </w:p>
        </w:tc>
      </w:tr>
      <w:tr w:rsidR="00022890" w:rsidRPr="00022890" w14:paraId="7D0930C9" w14:textId="77777777" w:rsidTr="00B333D4">
        <w:trPr>
          <w:trHeight w:val="74"/>
          <w:jc w:val="center"/>
        </w:trPr>
        <w:tc>
          <w:tcPr>
            <w:cnfStyle w:val="001000000000" w:firstRow="0" w:lastRow="0" w:firstColumn="1" w:lastColumn="0" w:oddVBand="0" w:evenVBand="0" w:oddHBand="0" w:evenHBand="0" w:firstRowFirstColumn="0" w:firstRowLastColumn="0" w:lastRowFirstColumn="0" w:lastRowLastColumn="0"/>
            <w:tcW w:w="3828" w:type="dxa"/>
            <w:gridSpan w:val="2"/>
            <w:hideMark/>
          </w:tcPr>
          <w:p w14:paraId="278B99C2" w14:textId="4C3B1383" w:rsidR="00022890" w:rsidRPr="00022890" w:rsidRDefault="00022890" w:rsidP="00022890">
            <w:pPr>
              <w:pStyle w:val="BodyText"/>
              <w:ind w:right="49"/>
              <w:jc w:val="center"/>
              <w:rPr>
                <w:rFonts w:ascii="Adobe Garamond Pro" w:hAnsi="Adobe Garamond Pro"/>
                <w:i/>
                <w:iCs/>
                <w:sz w:val="16"/>
                <w:szCs w:val="16"/>
              </w:rPr>
            </w:pPr>
            <w:r>
              <w:rPr>
                <w:rFonts w:ascii="Adobe Garamond Pro" w:hAnsi="Adobe Garamond Pro"/>
                <w:i/>
                <w:iCs/>
                <w:sz w:val="16"/>
                <w:szCs w:val="16"/>
              </w:rPr>
              <w:t>Total</w:t>
            </w:r>
          </w:p>
          <w:p w14:paraId="0E18E671" w14:textId="31966AC3" w:rsidR="00022890" w:rsidRPr="00022890" w:rsidRDefault="00022890" w:rsidP="00022890">
            <w:pPr>
              <w:pStyle w:val="BodyText"/>
              <w:ind w:right="49"/>
              <w:jc w:val="center"/>
              <w:rPr>
                <w:rFonts w:ascii="Adobe Garamond Pro" w:hAnsi="Adobe Garamond Pro"/>
                <w:sz w:val="16"/>
                <w:szCs w:val="16"/>
              </w:rPr>
            </w:pPr>
          </w:p>
        </w:tc>
        <w:tc>
          <w:tcPr>
            <w:tcW w:w="1338" w:type="dxa"/>
            <w:hideMark/>
          </w:tcPr>
          <w:p w14:paraId="6C4D4594" w14:textId="77777777" w:rsidR="00022890" w:rsidRPr="00022890" w:rsidRDefault="00022890"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19</w:t>
            </w:r>
          </w:p>
        </w:tc>
        <w:tc>
          <w:tcPr>
            <w:tcW w:w="1378" w:type="dxa"/>
            <w:hideMark/>
          </w:tcPr>
          <w:p w14:paraId="6B73385F" w14:textId="77777777" w:rsidR="00022890" w:rsidRPr="00022890" w:rsidRDefault="00022890"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26</w:t>
            </w:r>
          </w:p>
        </w:tc>
        <w:tc>
          <w:tcPr>
            <w:tcW w:w="1428" w:type="dxa"/>
            <w:hideMark/>
          </w:tcPr>
          <w:p w14:paraId="3E468D39" w14:textId="77777777" w:rsidR="00022890" w:rsidRPr="00022890" w:rsidRDefault="00022890"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42</w:t>
            </w:r>
          </w:p>
        </w:tc>
        <w:tc>
          <w:tcPr>
            <w:tcW w:w="963" w:type="dxa"/>
            <w:hideMark/>
          </w:tcPr>
          <w:p w14:paraId="33A48F29" w14:textId="77777777" w:rsidR="00022890" w:rsidRPr="00022890" w:rsidRDefault="00022890" w:rsidP="003053C2">
            <w:pPr>
              <w:pStyle w:val="BodyText"/>
              <w:ind w:right="49"/>
              <w:jc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87</w:t>
            </w:r>
          </w:p>
        </w:tc>
        <w:tc>
          <w:tcPr>
            <w:tcW w:w="988" w:type="dxa"/>
            <w:hideMark/>
          </w:tcPr>
          <w:p w14:paraId="4B14EE5D" w14:textId="77777777" w:rsidR="00022890" w:rsidRPr="00022890" w:rsidRDefault="00022890" w:rsidP="00B333D4">
            <w:pPr>
              <w:pStyle w:val="BodyText"/>
              <w:keepNext/>
              <w:ind w:right="49"/>
              <w:jc w:val="left"/>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100%</w:t>
            </w:r>
          </w:p>
        </w:tc>
      </w:tr>
      <w:bookmarkEnd w:id="15"/>
    </w:tbl>
    <w:p w14:paraId="4B188330" w14:textId="77777777" w:rsidR="00B333D4" w:rsidRDefault="00B333D4" w:rsidP="00B333D4">
      <w:pPr>
        <w:pStyle w:val="Caption"/>
        <w:spacing w:after="0"/>
        <w:jc w:val="center"/>
        <w:rPr>
          <w:rFonts w:ascii="Adobe Garamond Pro" w:hAnsi="Adobe Garamond Pro"/>
          <w:i w:val="0"/>
          <w:iCs w:val="0"/>
          <w:color w:val="auto"/>
        </w:rPr>
      </w:pPr>
    </w:p>
    <w:p w14:paraId="6FCFAD1D" w14:textId="6E659BD7" w:rsidR="00B7232A" w:rsidRPr="00B333D4" w:rsidRDefault="00B333D4" w:rsidP="00B333D4">
      <w:pPr>
        <w:pStyle w:val="Caption"/>
        <w:spacing w:after="0"/>
        <w:rPr>
          <w:rFonts w:ascii="Adobe Garamond Pro" w:hAnsi="Adobe Garamond Pro"/>
          <w:i w:val="0"/>
          <w:iCs w:val="0"/>
          <w:color w:val="auto"/>
        </w:rPr>
      </w:pPr>
      <w:r w:rsidRPr="00B333D4">
        <w:rPr>
          <w:rFonts w:ascii="Adobe Garamond Pro" w:hAnsi="Adobe Garamond Pro"/>
          <w:i w:val="0"/>
          <w:iCs w:val="0"/>
          <w:color w:val="auto"/>
        </w:rPr>
        <w:t>Sumber: Hasil Literatur</w:t>
      </w:r>
    </w:p>
    <w:p w14:paraId="3A7DBABB" w14:textId="77777777" w:rsidR="00022890" w:rsidRPr="00022890" w:rsidRDefault="00022890" w:rsidP="00B7232A">
      <w:pPr>
        <w:pStyle w:val="BodyText"/>
        <w:ind w:left="0" w:right="49"/>
        <w:rPr>
          <w:rFonts w:ascii="Adobe Garamond Pro" w:hAnsi="Adobe Garamond Pro"/>
          <w:sz w:val="22"/>
          <w:szCs w:val="22"/>
          <w:lang w:val="en-US"/>
        </w:rPr>
      </w:pPr>
    </w:p>
    <w:p w14:paraId="3792DB18" w14:textId="6C93FE8A" w:rsidR="00022890" w:rsidRPr="00B333D4" w:rsidRDefault="00022890" w:rsidP="008B5AE7">
      <w:pPr>
        <w:pStyle w:val="Caption"/>
        <w:keepNext/>
        <w:rPr>
          <w:rFonts w:ascii="Adobe Garamond Pro" w:hAnsi="Adobe Garamond Pro"/>
          <w:b/>
          <w:bCs/>
          <w:i w:val="0"/>
          <w:iCs w:val="0"/>
          <w:color w:val="auto"/>
        </w:rPr>
      </w:pPr>
      <w:bookmarkStart w:id="16" w:name="_Hlk217647406"/>
      <w:r w:rsidRPr="00B333D4">
        <w:rPr>
          <w:rFonts w:ascii="Adobe Garamond Pro" w:hAnsi="Adobe Garamond Pro"/>
          <w:b/>
          <w:bCs/>
          <w:i w:val="0"/>
          <w:iCs w:val="0"/>
          <w:color w:val="auto"/>
        </w:rPr>
        <w:t xml:space="preserve">Table 4. </w:t>
      </w:r>
      <w:r w:rsidRPr="008B5AE7">
        <w:rPr>
          <w:rFonts w:ascii="Adobe Garamond Pro" w:hAnsi="Adobe Garamond Pro"/>
          <w:i w:val="0"/>
          <w:iCs w:val="0"/>
          <w:color w:val="auto"/>
        </w:rPr>
        <w:t>Pemetaan Fokus Penelitian</w:t>
      </w:r>
    </w:p>
    <w:tbl>
      <w:tblPr>
        <w:tblStyle w:val="PlainTable5"/>
        <w:tblW w:w="0" w:type="auto"/>
        <w:jc w:val="center"/>
        <w:tblLook w:val="04A0" w:firstRow="1" w:lastRow="0" w:firstColumn="1" w:lastColumn="0" w:noHBand="0" w:noVBand="1"/>
      </w:tblPr>
      <w:tblGrid>
        <w:gridCol w:w="1696"/>
        <w:gridCol w:w="2642"/>
        <w:gridCol w:w="2368"/>
        <w:gridCol w:w="2308"/>
      </w:tblGrid>
      <w:tr w:rsidR="00022890" w:rsidRPr="00022890" w14:paraId="39A69BA4" w14:textId="77777777" w:rsidTr="00B333D4">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100" w:firstRow="0" w:lastRow="0" w:firstColumn="1" w:lastColumn="0" w:oddVBand="0" w:evenVBand="0" w:oddHBand="0" w:evenHBand="0" w:firstRowFirstColumn="1" w:firstRowLastColumn="0" w:lastRowFirstColumn="0" w:lastRowLastColumn="0"/>
            <w:tcW w:w="1696" w:type="dxa"/>
            <w:hideMark/>
          </w:tcPr>
          <w:p w14:paraId="6175A5E3" w14:textId="77777777" w:rsidR="00022890" w:rsidRPr="00022890" w:rsidRDefault="00022890" w:rsidP="00A36C17">
            <w:pPr>
              <w:pStyle w:val="BodyText"/>
              <w:ind w:right="49"/>
              <w:jc w:val="center"/>
              <w:rPr>
                <w:rFonts w:ascii="Adobe Garamond Pro" w:hAnsi="Adobe Garamond Pro"/>
                <w:b/>
                <w:bCs/>
                <w:sz w:val="16"/>
                <w:szCs w:val="16"/>
              </w:rPr>
            </w:pPr>
            <w:bookmarkStart w:id="17" w:name="_Hlk217436182"/>
            <w:r w:rsidRPr="00022890">
              <w:rPr>
                <w:rFonts w:ascii="Adobe Garamond Pro" w:hAnsi="Adobe Garamond Pro"/>
                <w:b/>
                <w:bCs/>
                <w:sz w:val="16"/>
                <w:szCs w:val="16"/>
              </w:rPr>
              <w:t>Fase (Periode)</w:t>
            </w:r>
          </w:p>
        </w:tc>
        <w:tc>
          <w:tcPr>
            <w:tcW w:w="2642" w:type="dxa"/>
            <w:hideMark/>
          </w:tcPr>
          <w:p w14:paraId="7969E687" w14:textId="67091096" w:rsidR="00022890" w:rsidRPr="00022890" w:rsidRDefault="00022890" w:rsidP="00A36C17">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b/>
                <w:bCs/>
                <w:sz w:val="16"/>
                <w:szCs w:val="16"/>
              </w:rPr>
            </w:pPr>
            <w:r w:rsidRPr="00022890">
              <w:rPr>
                <w:rFonts w:ascii="Adobe Garamond Pro" w:hAnsi="Adobe Garamond Pro"/>
                <w:b/>
                <w:bCs/>
                <w:sz w:val="16"/>
                <w:szCs w:val="16"/>
              </w:rPr>
              <w:t xml:space="preserve">Fokus Utama </w:t>
            </w:r>
          </w:p>
        </w:tc>
        <w:tc>
          <w:tcPr>
            <w:tcW w:w="2368" w:type="dxa"/>
            <w:hideMark/>
          </w:tcPr>
          <w:p w14:paraId="6EBDCCEA" w14:textId="77777777" w:rsidR="00022890" w:rsidRPr="00022890" w:rsidRDefault="00022890" w:rsidP="00A36C17">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b/>
                <w:bCs/>
                <w:sz w:val="16"/>
                <w:szCs w:val="16"/>
              </w:rPr>
            </w:pPr>
            <w:r w:rsidRPr="00022890">
              <w:rPr>
                <w:rFonts w:ascii="Adobe Garamond Pro" w:hAnsi="Adobe Garamond Pro"/>
                <w:b/>
                <w:bCs/>
                <w:sz w:val="16"/>
                <w:szCs w:val="16"/>
              </w:rPr>
              <w:t>Kontribusi Jurnal Utama</w:t>
            </w:r>
          </w:p>
        </w:tc>
        <w:tc>
          <w:tcPr>
            <w:tcW w:w="2308" w:type="dxa"/>
            <w:hideMark/>
          </w:tcPr>
          <w:p w14:paraId="026B213A" w14:textId="77777777" w:rsidR="00022890" w:rsidRPr="00022890" w:rsidRDefault="00022890" w:rsidP="00A36C17">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b/>
                <w:bCs/>
                <w:sz w:val="16"/>
                <w:szCs w:val="16"/>
              </w:rPr>
            </w:pPr>
            <w:r w:rsidRPr="00022890">
              <w:rPr>
                <w:rFonts w:ascii="Adobe Garamond Pro" w:hAnsi="Adobe Garamond Pro"/>
                <w:b/>
                <w:bCs/>
                <w:sz w:val="16"/>
                <w:szCs w:val="16"/>
              </w:rPr>
              <w:t>Hasil</w:t>
            </w:r>
          </w:p>
          <w:p w14:paraId="62E6570E" w14:textId="77777777" w:rsidR="00022890" w:rsidRPr="00022890" w:rsidRDefault="00022890" w:rsidP="00A36C17">
            <w:pPr>
              <w:pStyle w:val="BodyText"/>
              <w:ind w:right="49"/>
              <w:jc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b/>
                <w:bCs/>
                <w:sz w:val="16"/>
                <w:szCs w:val="16"/>
              </w:rPr>
            </w:pPr>
            <w:r w:rsidRPr="00022890">
              <w:rPr>
                <w:rFonts w:ascii="Adobe Garamond Pro" w:hAnsi="Adobe Garamond Pro"/>
                <w:b/>
                <w:bCs/>
                <w:sz w:val="16"/>
                <w:szCs w:val="16"/>
              </w:rPr>
              <w:t xml:space="preserve"> Literatur</w:t>
            </w:r>
          </w:p>
        </w:tc>
      </w:tr>
      <w:tr w:rsidR="00022890" w:rsidRPr="00022890" w14:paraId="64DF3F51" w14:textId="77777777" w:rsidTr="00B333D4">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696" w:type="dxa"/>
            <w:hideMark/>
          </w:tcPr>
          <w:p w14:paraId="47ADAE1B" w14:textId="77777777" w:rsidR="00022890" w:rsidRPr="00022890" w:rsidRDefault="00022890" w:rsidP="00A36C17">
            <w:pPr>
              <w:pStyle w:val="BodyText"/>
              <w:ind w:right="49"/>
              <w:jc w:val="center"/>
              <w:rPr>
                <w:rFonts w:ascii="Adobe Garamond Pro" w:hAnsi="Adobe Garamond Pro"/>
                <w:sz w:val="16"/>
                <w:szCs w:val="16"/>
              </w:rPr>
            </w:pPr>
            <w:r w:rsidRPr="00022890">
              <w:rPr>
                <w:rFonts w:ascii="Adobe Garamond Pro" w:hAnsi="Adobe Garamond Pro"/>
                <w:sz w:val="16"/>
                <w:szCs w:val="16"/>
              </w:rPr>
              <w:t>Fase Inisiasi (2007–2015)</w:t>
            </w:r>
          </w:p>
        </w:tc>
        <w:tc>
          <w:tcPr>
            <w:tcW w:w="2642" w:type="dxa"/>
            <w:hideMark/>
          </w:tcPr>
          <w:p w14:paraId="6CFD1F3E" w14:textId="77777777" w:rsidR="00022890" w:rsidRPr="00022890" w:rsidRDefault="00022890" w:rsidP="00A36C17">
            <w:pPr>
              <w:pStyle w:val="BodyText"/>
              <w:ind w:left="0" w:right="49"/>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Fokus: Pengenalan standar RSPO dan dampak lingkungan awal.</w:t>
            </w:r>
          </w:p>
        </w:tc>
        <w:tc>
          <w:tcPr>
            <w:tcW w:w="2368" w:type="dxa"/>
            <w:hideMark/>
          </w:tcPr>
          <w:p w14:paraId="45A47AC5" w14:textId="77777777" w:rsidR="00022890" w:rsidRPr="00022890" w:rsidRDefault="00022890" w:rsidP="00A36C17">
            <w:pPr>
              <w:pStyle w:val="BodyText"/>
              <w:ind w:left="0" w:right="49"/>
              <w:cnfStyle w:val="000000100000" w:firstRow="0" w:lastRow="0" w:firstColumn="0" w:lastColumn="0" w:oddVBand="0" w:evenVBand="0" w:oddHBand="1" w:evenHBand="0" w:firstRowFirstColumn="0" w:firstRowLastColumn="0" w:lastRowFirstColumn="0" w:lastRowLastColumn="0"/>
              <w:rPr>
                <w:rFonts w:ascii="Adobe Garamond Pro" w:hAnsi="Adobe Garamond Pro"/>
                <w:i/>
                <w:iCs/>
                <w:sz w:val="16"/>
                <w:szCs w:val="16"/>
              </w:rPr>
            </w:pPr>
            <w:r w:rsidRPr="00022890">
              <w:rPr>
                <w:rFonts w:ascii="Adobe Garamond Pro" w:hAnsi="Adobe Garamond Pro"/>
                <w:i/>
                <w:iCs/>
                <w:sz w:val="16"/>
                <w:szCs w:val="16"/>
              </w:rPr>
              <w:t>Journal of Cleaner Production</w:t>
            </w:r>
            <w:r w:rsidRPr="00022890">
              <w:rPr>
                <w:rFonts w:ascii="Adobe Garamond Pro" w:hAnsi="Adobe Garamond Pro"/>
                <w:sz w:val="16"/>
                <w:szCs w:val="16"/>
              </w:rPr>
              <w:t xml:space="preserve"> (2), </w:t>
            </w:r>
            <w:r w:rsidRPr="00022890">
              <w:rPr>
                <w:rFonts w:ascii="Adobe Garamond Pro" w:hAnsi="Adobe Garamond Pro"/>
                <w:i/>
                <w:iCs/>
                <w:sz w:val="16"/>
                <w:szCs w:val="16"/>
              </w:rPr>
              <w:t>Global Environmental Change</w:t>
            </w:r>
            <w:r w:rsidRPr="00022890">
              <w:rPr>
                <w:rFonts w:ascii="Adobe Garamond Pro" w:hAnsi="Adobe Garamond Pro"/>
                <w:sz w:val="16"/>
                <w:szCs w:val="16"/>
              </w:rPr>
              <w:t xml:space="preserve"> (1).</w:t>
            </w:r>
          </w:p>
        </w:tc>
        <w:tc>
          <w:tcPr>
            <w:tcW w:w="2308" w:type="dxa"/>
            <w:hideMark/>
          </w:tcPr>
          <w:p w14:paraId="5206AB1C" w14:textId="77777777" w:rsidR="00022890" w:rsidRPr="00022890" w:rsidRDefault="00022890" w:rsidP="00A36C17">
            <w:pPr>
              <w:pStyle w:val="BodyText"/>
              <w:ind w:left="0" w:right="49"/>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Pembentukan narasi awal mengenai konflik antara ekonomi kelapa sawit dan konservasi hutan.</w:t>
            </w:r>
          </w:p>
        </w:tc>
      </w:tr>
      <w:tr w:rsidR="00022890" w:rsidRPr="00022890" w14:paraId="46D7CE6D" w14:textId="77777777" w:rsidTr="00B333D4">
        <w:trPr>
          <w:trHeight w:val="887"/>
          <w:jc w:val="center"/>
        </w:trPr>
        <w:tc>
          <w:tcPr>
            <w:cnfStyle w:val="001000000000" w:firstRow="0" w:lastRow="0" w:firstColumn="1" w:lastColumn="0" w:oddVBand="0" w:evenVBand="0" w:oddHBand="0" w:evenHBand="0" w:firstRowFirstColumn="0" w:firstRowLastColumn="0" w:lastRowFirstColumn="0" w:lastRowLastColumn="0"/>
            <w:tcW w:w="1696" w:type="dxa"/>
            <w:hideMark/>
          </w:tcPr>
          <w:p w14:paraId="638CE0B6" w14:textId="77777777" w:rsidR="00022890" w:rsidRPr="00022890" w:rsidRDefault="00022890" w:rsidP="00A36C17">
            <w:pPr>
              <w:pStyle w:val="BodyText"/>
              <w:ind w:right="49"/>
              <w:jc w:val="center"/>
              <w:rPr>
                <w:rFonts w:ascii="Adobe Garamond Pro" w:hAnsi="Adobe Garamond Pro"/>
                <w:sz w:val="16"/>
                <w:szCs w:val="16"/>
              </w:rPr>
            </w:pPr>
            <w:r w:rsidRPr="00022890">
              <w:rPr>
                <w:rFonts w:ascii="Adobe Garamond Pro" w:hAnsi="Adobe Garamond Pro"/>
                <w:sz w:val="16"/>
                <w:szCs w:val="16"/>
              </w:rPr>
              <w:t>Fase Transisi (2016–2020)</w:t>
            </w:r>
          </w:p>
        </w:tc>
        <w:tc>
          <w:tcPr>
            <w:tcW w:w="2642" w:type="dxa"/>
            <w:hideMark/>
          </w:tcPr>
          <w:p w14:paraId="2E95A19A" w14:textId="77777777" w:rsidR="00022890" w:rsidRPr="00022890" w:rsidRDefault="00022890" w:rsidP="00A36C17">
            <w:pPr>
              <w:pStyle w:val="BodyText"/>
              <w:ind w:left="0" w:right="49"/>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Fokus: Implementasi kebijakan NDPE dan mitigasi risiko korporasi.</w:t>
            </w:r>
          </w:p>
        </w:tc>
        <w:tc>
          <w:tcPr>
            <w:tcW w:w="2368" w:type="dxa"/>
            <w:hideMark/>
          </w:tcPr>
          <w:p w14:paraId="3D65519C" w14:textId="77777777" w:rsidR="00022890" w:rsidRPr="00022890" w:rsidRDefault="00022890" w:rsidP="00A36C17">
            <w:pPr>
              <w:pStyle w:val="BodyText"/>
              <w:ind w:left="0" w:right="49"/>
              <w:cnfStyle w:val="000000000000" w:firstRow="0" w:lastRow="0" w:firstColumn="0" w:lastColumn="0" w:oddVBand="0" w:evenVBand="0" w:oddHBand="0" w:evenHBand="0" w:firstRowFirstColumn="0" w:firstRowLastColumn="0" w:lastRowFirstColumn="0" w:lastRowLastColumn="0"/>
              <w:rPr>
                <w:rFonts w:ascii="Adobe Garamond Pro" w:hAnsi="Adobe Garamond Pro"/>
                <w:i/>
                <w:iCs/>
                <w:sz w:val="16"/>
                <w:szCs w:val="16"/>
              </w:rPr>
            </w:pPr>
            <w:r w:rsidRPr="00022890">
              <w:rPr>
                <w:rFonts w:ascii="Adobe Garamond Pro" w:hAnsi="Adobe Garamond Pro"/>
                <w:i/>
                <w:iCs/>
                <w:sz w:val="16"/>
                <w:szCs w:val="16"/>
              </w:rPr>
              <w:t>Sustainability</w:t>
            </w:r>
            <w:r w:rsidRPr="00022890">
              <w:rPr>
                <w:rFonts w:ascii="Adobe Garamond Pro" w:hAnsi="Adobe Garamond Pro"/>
                <w:sz w:val="16"/>
                <w:szCs w:val="16"/>
              </w:rPr>
              <w:t xml:space="preserve"> (3), </w:t>
            </w:r>
            <w:r w:rsidRPr="00022890">
              <w:rPr>
                <w:rFonts w:ascii="Adobe Garamond Pro" w:hAnsi="Adobe Garamond Pro"/>
                <w:i/>
                <w:iCs/>
                <w:sz w:val="16"/>
                <w:szCs w:val="16"/>
              </w:rPr>
              <w:t>Forest Policy and Economics</w:t>
            </w:r>
            <w:r w:rsidRPr="00022890">
              <w:rPr>
                <w:rFonts w:ascii="Adobe Garamond Pro" w:hAnsi="Adobe Garamond Pro"/>
                <w:sz w:val="16"/>
                <w:szCs w:val="16"/>
              </w:rPr>
              <w:t xml:space="preserve"> (2), </w:t>
            </w:r>
            <w:r w:rsidRPr="00022890">
              <w:rPr>
                <w:rFonts w:ascii="Adobe Garamond Pro" w:hAnsi="Adobe Garamond Pro"/>
                <w:i/>
                <w:iCs/>
                <w:sz w:val="16"/>
                <w:szCs w:val="16"/>
              </w:rPr>
              <w:t>Remote Sensing</w:t>
            </w:r>
            <w:r w:rsidRPr="00022890">
              <w:rPr>
                <w:rFonts w:ascii="Adobe Garamond Pro" w:hAnsi="Adobe Garamond Pro"/>
                <w:sz w:val="16"/>
                <w:szCs w:val="16"/>
              </w:rPr>
              <w:t xml:space="preserve"> (2).</w:t>
            </w:r>
          </w:p>
        </w:tc>
        <w:tc>
          <w:tcPr>
            <w:tcW w:w="2308" w:type="dxa"/>
            <w:hideMark/>
          </w:tcPr>
          <w:p w14:paraId="72F89E24" w14:textId="77777777" w:rsidR="00022890" w:rsidRPr="00022890" w:rsidRDefault="00022890" w:rsidP="00A36C17">
            <w:pPr>
              <w:pStyle w:val="BodyText"/>
              <w:ind w:left="0" w:right="49"/>
              <w:cnfStyle w:val="000000000000" w:firstRow="0" w:lastRow="0" w:firstColumn="0" w:lastColumn="0" w:oddVBand="0" w:evenVBand="0" w:oddHBand="0"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Sesuai argumen Pardede (2023), pelaporan mulai digunakan sebagai instrumen mitigasi risiko pasar dan reputasi.</w:t>
            </w:r>
          </w:p>
        </w:tc>
      </w:tr>
      <w:tr w:rsidR="00022890" w:rsidRPr="00022890" w14:paraId="46C6B7F9" w14:textId="77777777" w:rsidTr="00B333D4">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1696" w:type="dxa"/>
            <w:hideMark/>
          </w:tcPr>
          <w:p w14:paraId="60171578" w14:textId="77777777" w:rsidR="00022890" w:rsidRPr="00022890" w:rsidRDefault="00022890" w:rsidP="00A36C17">
            <w:pPr>
              <w:pStyle w:val="BodyText"/>
              <w:ind w:right="49"/>
              <w:jc w:val="center"/>
              <w:rPr>
                <w:rFonts w:ascii="Adobe Garamond Pro" w:hAnsi="Adobe Garamond Pro"/>
                <w:sz w:val="16"/>
                <w:szCs w:val="16"/>
              </w:rPr>
            </w:pPr>
            <w:r w:rsidRPr="00022890">
              <w:rPr>
                <w:rFonts w:ascii="Adobe Garamond Pro" w:hAnsi="Adobe Garamond Pro"/>
                <w:sz w:val="16"/>
                <w:szCs w:val="16"/>
              </w:rPr>
              <w:t>Fase Akselerasi &amp; Verifikasi (2021–2025)</w:t>
            </w:r>
          </w:p>
        </w:tc>
        <w:tc>
          <w:tcPr>
            <w:tcW w:w="2642" w:type="dxa"/>
            <w:hideMark/>
          </w:tcPr>
          <w:p w14:paraId="709F8FAE" w14:textId="77777777" w:rsidR="00022890" w:rsidRPr="00022890" w:rsidRDefault="00022890" w:rsidP="00A36C17">
            <w:pPr>
              <w:pStyle w:val="BodyText"/>
              <w:ind w:left="0" w:right="49"/>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Fokus: Pengujian klaim "no deforestation" terhadap realitas ekologis.</w:t>
            </w:r>
          </w:p>
        </w:tc>
        <w:tc>
          <w:tcPr>
            <w:tcW w:w="2368" w:type="dxa"/>
            <w:hideMark/>
          </w:tcPr>
          <w:p w14:paraId="3458066A" w14:textId="77777777" w:rsidR="00022890" w:rsidRPr="00022890" w:rsidRDefault="00022890" w:rsidP="00A36C17">
            <w:pPr>
              <w:pStyle w:val="BodyText"/>
              <w:ind w:left="0" w:right="49"/>
              <w:cnfStyle w:val="000000100000" w:firstRow="0" w:lastRow="0" w:firstColumn="0" w:lastColumn="0" w:oddVBand="0" w:evenVBand="0" w:oddHBand="1" w:evenHBand="0" w:firstRowFirstColumn="0" w:firstRowLastColumn="0" w:lastRowFirstColumn="0" w:lastRowLastColumn="0"/>
              <w:rPr>
                <w:rFonts w:ascii="Adobe Garamond Pro" w:hAnsi="Adobe Garamond Pro"/>
                <w:i/>
                <w:iCs/>
                <w:sz w:val="16"/>
                <w:szCs w:val="16"/>
              </w:rPr>
            </w:pPr>
            <w:r w:rsidRPr="00022890">
              <w:rPr>
                <w:rFonts w:ascii="Adobe Garamond Pro" w:hAnsi="Adobe Garamond Pro"/>
                <w:i/>
                <w:iCs/>
                <w:sz w:val="16"/>
                <w:szCs w:val="16"/>
              </w:rPr>
              <w:t>Sustainability</w:t>
            </w:r>
            <w:r w:rsidRPr="00022890">
              <w:rPr>
                <w:rFonts w:ascii="Adobe Garamond Pro" w:hAnsi="Adobe Garamond Pro"/>
                <w:sz w:val="16"/>
                <w:szCs w:val="16"/>
              </w:rPr>
              <w:t xml:space="preserve"> (8), </w:t>
            </w:r>
            <w:r w:rsidRPr="00022890">
              <w:rPr>
                <w:rFonts w:ascii="Adobe Garamond Pro" w:hAnsi="Adobe Garamond Pro"/>
                <w:i/>
                <w:iCs/>
                <w:sz w:val="16"/>
                <w:szCs w:val="16"/>
              </w:rPr>
              <w:t>Forest Policy and Economics</w:t>
            </w:r>
            <w:r w:rsidRPr="00022890">
              <w:rPr>
                <w:rFonts w:ascii="Adobe Garamond Pro" w:hAnsi="Adobe Garamond Pro"/>
                <w:sz w:val="16"/>
                <w:szCs w:val="16"/>
              </w:rPr>
              <w:t xml:space="preserve"> (5), </w:t>
            </w:r>
            <w:r w:rsidRPr="00022890">
              <w:rPr>
                <w:rFonts w:ascii="Adobe Garamond Pro" w:hAnsi="Adobe Garamond Pro"/>
                <w:i/>
                <w:iCs/>
                <w:sz w:val="16"/>
                <w:szCs w:val="16"/>
              </w:rPr>
              <w:t>Scientific Reports</w:t>
            </w:r>
            <w:r w:rsidRPr="00022890">
              <w:rPr>
                <w:rFonts w:ascii="Adobe Garamond Pro" w:hAnsi="Adobe Garamond Pro"/>
                <w:sz w:val="16"/>
                <w:szCs w:val="16"/>
              </w:rPr>
              <w:t xml:space="preserve"> (4).</w:t>
            </w:r>
          </w:p>
        </w:tc>
        <w:tc>
          <w:tcPr>
            <w:tcW w:w="2308" w:type="dxa"/>
            <w:hideMark/>
          </w:tcPr>
          <w:p w14:paraId="2FFAE242" w14:textId="77777777" w:rsidR="00022890" w:rsidRPr="00022890" w:rsidRDefault="00022890" w:rsidP="00B333D4">
            <w:pPr>
              <w:pStyle w:val="BodyText"/>
              <w:keepNext/>
              <w:ind w:left="0" w:right="49"/>
              <w:cnfStyle w:val="000000100000" w:firstRow="0" w:lastRow="0" w:firstColumn="0" w:lastColumn="0" w:oddVBand="0" w:evenVBand="0" w:oddHBand="1" w:evenHBand="0" w:firstRowFirstColumn="0" w:firstRowLastColumn="0" w:lastRowFirstColumn="0" w:lastRowLastColumn="0"/>
              <w:rPr>
                <w:rFonts w:ascii="Adobe Garamond Pro" w:hAnsi="Adobe Garamond Pro"/>
                <w:sz w:val="16"/>
                <w:szCs w:val="16"/>
              </w:rPr>
            </w:pPr>
            <w:r w:rsidRPr="00022890">
              <w:rPr>
                <w:rFonts w:ascii="Adobe Garamond Pro" w:hAnsi="Adobe Garamond Pro"/>
                <w:sz w:val="16"/>
                <w:szCs w:val="16"/>
              </w:rPr>
              <w:t xml:space="preserve">Munculnya </w:t>
            </w:r>
            <w:r w:rsidRPr="00022890">
              <w:rPr>
                <w:rFonts w:ascii="Adobe Garamond Pro" w:hAnsi="Adobe Garamond Pro"/>
                <w:i/>
                <w:iCs/>
                <w:sz w:val="16"/>
                <w:szCs w:val="16"/>
              </w:rPr>
              <w:t>ecoaccountability gap</w:t>
            </w:r>
            <w:r w:rsidRPr="00022890">
              <w:rPr>
                <w:rFonts w:ascii="Adobe Garamond Pro" w:hAnsi="Adobe Garamond Pro"/>
                <w:sz w:val="16"/>
                <w:szCs w:val="16"/>
              </w:rPr>
              <w:t xml:space="preserve"> yang tajam akibat desakan regulasi global seperti EUDR dan transparansi ESG.</w:t>
            </w:r>
          </w:p>
        </w:tc>
      </w:tr>
    </w:tbl>
    <w:p w14:paraId="7F7909B0" w14:textId="0440E6EA" w:rsidR="00022890" w:rsidRPr="00B333D4" w:rsidRDefault="00B333D4" w:rsidP="00B333D4">
      <w:pPr>
        <w:pStyle w:val="Caption"/>
        <w:rPr>
          <w:rFonts w:ascii="Adobe Garamond Pro" w:hAnsi="Adobe Garamond Pro"/>
          <w:i w:val="0"/>
          <w:iCs w:val="0"/>
          <w:color w:val="auto"/>
        </w:rPr>
      </w:pPr>
      <w:r w:rsidRPr="00B333D4">
        <w:rPr>
          <w:rFonts w:ascii="Adobe Garamond Pro" w:hAnsi="Adobe Garamond Pro"/>
          <w:i w:val="0"/>
          <w:iCs w:val="0"/>
          <w:color w:val="auto"/>
        </w:rPr>
        <w:t>Sumber: Hasil Literatur</w:t>
      </w:r>
    </w:p>
    <w:bookmarkEnd w:id="16"/>
    <w:p w14:paraId="13939D89" w14:textId="31EC3055" w:rsidR="003053C2" w:rsidRPr="00B333D4" w:rsidRDefault="00E17944" w:rsidP="00691E7B">
      <w:pPr>
        <w:pStyle w:val="BodyText"/>
        <w:spacing w:before="1" w:line="360" w:lineRule="auto"/>
        <w:ind w:left="0" w:right="49" w:firstLine="567"/>
        <w:rPr>
          <w:rFonts w:ascii="Adobe Garamond Pro" w:hAnsi="Adobe Garamond Pro"/>
          <w:sz w:val="22"/>
          <w:szCs w:val="22"/>
          <w:lang w:val="en-US"/>
        </w:rPr>
      </w:pPr>
      <w:r>
        <w:rPr>
          <w:rFonts w:ascii="Adobe Garamond Pro" w:hAnsi="Adobe Garamond Pro"/>
          <w:sz w:val="22"/>
          <w:szCs w:val="22"/>
          <w:lang w:val="en-US"/>
        </w:rPr>
        <w:t xml:space="preserve">Berdasarkan </w:t>
      </w:r>
      <w:bookmarkStart w:id="18" w:name="_Hlk217647611"/>
      <w:r>
        <w:rPr>
          <w:rFonts w:ascii="Adobe Garamond Pro" w:hAnsi="Adobe Garamond Pro"/>
          <w:sz w:val="22"/>
          <w:szCs w:val="22"/>
          <w:lang w:val="en-US"/>
        </w:rPr>
        <w:t>hasil p</w:t>
      </w:r>
      <w:r w:rsidR="00B7232A" w:rsidRPr="00B333D4">
        <w:rPr>
          <w:rFonts w:ascii="Adobe Garamond Pro" w:hAnsi="Adobe Garamond Pro"/>
          <w:sz w:val="22"/>
          <w:szCs w:val="22"/>
          <w:lang w:val="en-US"/>
        </w:rPr>
        <w:t xml:space="preserve">emetaan metodologi </w:t>
      </w:r>
      <w:r>
        <w:rPr>
          <w:rFonts w:ascii="Adobe Garamond Pro" w:hAnsi="Adobe Garamond Pro"/>
          <w:sz w:val="22"/>
          <w:szCs w:val="22"/>
          <w:lang w:val="en-US"/>
        </w:rPr>
        <w:t>pada</w:t>
      </w:r>
      <w:r w:rsidR="00B7232A" w:rsidRPr="00B333D4">
        <w:rPr>
          <w:rFonts w:ascii="Adobe Garamond Pro" w:hAnsi="Adobe Garamond Pro"/>
          <w:sz w:val="22"/>
          <w:szCs w:val="22"/>
          <w:lang w:val="en-US"/>
        </w:rPr>
        <w:t xml:space="preserve"> 87 artikel</w:t>
      </w:r>
      <w:r>
        <w:rPr>
          <w:rFonts w:ascii="Adobe Garamond Pro" w:hAnsi="Adobe Garamond Pro"/>
          <w:sz w:val="22"/>
          <w:szCs w:val="22"/>
          <w:lang w:val="en-US"/>
        </w:rPr>
        <w:t xml:space="preserve">, terjadi </w:t>
      </w:r>
      <w:r w:rsidR="00B7232A" w:rsidRPr="00B333D4">
        <w:rPr>
          <w:rFonts w:ascii="Adobe Garamond Pro" w:hAnsi="Adobe Garamond Pro"/>
          <w:sz w:val="22"/>
          <w:szCs w:val="22"/>
          <w:lang w:val="en-US"/>
        </w:rPr>
        <w:t xml:space="preserve">pergeseran signifikan cara akademisi mendalami isu keberlanjutan </w:t>
      </w:r>
      <w:r>
        <w:rPr>
          <w:rFonts w:ascii="Adobe Garamond Pro" w:hAnsi="Adobe Garamond Pro"/>
          <w:sz w:val="22"/>
          <w:szCs w:val="22"/>
          <w:lang w:val="en-US"/>
        </w:rPr>
        <w:t>pada industri kelapa</w:t>
      </w:r>
      <w:r w:rsidR="00B7232A" w:rsidRPr="00B333D4">
        <w:rPr>
          <w:rFonts w:ascii="Adobe Garamond Pro" w:hAnsi="Adobe Garamond Pro"/>
          <w:sz w:val="22"/>
          <w:szCs w:val="22"/>
          <w:lang w:val="en-US"/>
        </w:rPr>
        <w:t xml:space="preserve"> sawit. Berdasarkan hasil literatur, </w:t>
      </w:r>
      <w:r>
        <w:rPr>
          <w:rFonts w:ascii="Adobe Garamond Pro" w:hAnsi="Adobe Garamond Pro"/>
          <w:sz w:val="22"/>
          <w:szCs w:val="22"/>
          <w:lang w:val="en-US"/>
        </w:rPr>
        <w:t xml:space="preserve">penelitian lebih dominan menggunakan </w:t>
      </w:r>
      <w:r w:rsidR="00B7232A" w:rsidRPr="00B333D4">
        <w:rPr>
          <w:rFonts w:ascii="Adobe Garamond Pro" w:hAnsi="Adobe Garamond Pro"/>
          <w:sz w:val="22"/>
          <w:szCs w:val="22"/>
          <w:lang w:val="en-US"/>
        </w:rPr>
        <w:t>pendekatan kuantitatif (47%), terutama melalui penggunaan analisis spasial dan penginderaan jauh (</w:t>
      </w:r>
      <w:r w:rsidR="00B7232A" w:rsidRPr="00B333D4">
        <w:rPr>
          <w:rFonts w:ascii="Adobe Garamond Pro" w:hAnsi="Adobe Garamond Pro"/>
          <w:i/>
          <w:iCs/>
          <w:sz w:val="22"/>
          <w:szCs w:val="22"/>
          <w:lang w:val="en-US"/>
        </w:rPr>
        <w:t>remote sensing</w:t>
      </w:r>
      <w:r w:rsidR="00B7232A" w:rsidRPr="00B333D4">
        <w:rPr>
          <w:rFonts w:ascii="Adobe Garamond Pro" w:hAnsi="Adobe Garamond Pro"/>
          <w:sz w:val="22"/>
          <w:szCs w:val="22"/>
          <w:lang w:val="en-US"/>
        </w:rPr>
        <w:t xml:space="preserve">). Hal ini selaras dengan argumen yang dikemukakan oleh </w:t>
      </w:r>
      <w:r w:rsidR="00B7232A" w:rsidRPr="00B333D4">
        <w:rPr>
          <w:rFonts w:ascii="Adobe Garamond Pro" w:hAnsi="Adobe Garamond Pro"/>
          <w:sz w:val="22"/>
          <w:szCs w:val="22"/>
          <w:lang w:val="en-US"/>
        </w:rPr>
        <w:fldChar w:fldCharType="begin" w:fldLock="1"/>
      </w:r>
      <w:r w:rsidR="00B7232A" w:rsidRPr="00B333D4">
        <w:rPr>
          <w:rFonts w:ascii="Adobe Garamond Pro" w:hAnsi="Adobe Garamond Pro"/>
          <w:sz w:val="22"/>
          <w:szCs w:val="22"/>
          <w:lang w:val="en-US"/>
        </w:rPr>
        <w:instrText>ADDIN CSL_CITATION {"citationItems":[{"id":"ITEM-1","itemData":{"ISSN":"0959-3780","author":[{"dropping-particle":"","family":"Garrett","given":"Rachael D","non-dropping-particle":"","parse-names":false,"suffix":""},{"dropping-particle":"","family":"Levy","given":"Sam","non-dropping-particle":"","parse-names":false,"suffix":""},{"dropping-particle":"","family":"Carlson","given":"Kimberly M","non-dropping-particle":"","parse-names":false,"suffix":""},{"dropping-particle":"","family":"Gardner","given":"Toby A","non-dropping-particle":"","parse-names":false,"suffix":""},{"dropping-particle":"","family":"Godar","given":"Javier","non-dropping-particle":"","parse-names":false,"suffix":""},{"dropping-particle":"","family":"Clapp","given":"Jennifer","non-dropping-particle":"","parse-names":false,"suffix":""},{"dropping-particle":"","family":"Dauvergne","given":"Peter","non-dropping-particle":"","parse-names":false,"suffix":""},{"dropping-particle":"","family":"Heilmayr","given":"Robert","non-dropping-particle":"","parse-names":false,"suffix":""},{"dropping-particle":"","family":"Waroux","given":"Y Le Polain","non-dropping-particle":"De","parse-names":false,"suffix":""},{"dropping-particle":"","family":"Ayre","given":"Ben","non-dropping-particle":"","parse-names":false,"suffix":""}],"container-title":"Global environmental change","id":"ITEM-1","issued":{"date-parts":[["2019"]]},"page":"135-147","publisher":"Elsevier","title":"Criteria for effective zero-deforestation commitments","type":"article-journal","volume":"54"},"uris":["http://www.mendeley.com/documents/?uuid=dfc16504-9d14-4715-a7b7-bdd0b0a2ebcd"]}],"mendeley":{"formattedCitation":"(Garrett et al., 2019)","manualFormatting":"Garrett et al. (2019)","plainTextFormattedCitation":"(Garrett et al., 2019)","previouslyFormattedCitation":"(Garrett et al., 2019)"},"properties":{"noteIndex":0},"schema":"https://github.com/citation-style-language/schema/raw/master/csl-citation.json"}</w:instrText>
      </w:r>
      <w:r w:rsidR="00B7232A" w:rsidRPr="00B333D4">
        <w:rPr>
          <w:rFonts w:ascii="Adobe Garamond Pro" w:hAnsi="Adobe Garamond Pro"/>
          <w:sz w:val="22"/>
          <w:szCs w:val="22"/>
          <w:lang w:val="en-US"/>
        </w:rPr>
        <w:fldChar w:fldCharType="separate"/>
      </w:r>
      <w:r w:rsidR="00B7232A" w:rsidRPr="00B333D4">
        <w:rPr>
          <w:rFonts w:ascii="Adobe Garamond Pro" w:hAnsi="Adobe Garamond Pro"/>
          <w:noProof/>
          <w:sz w:val="22"/>
          <w:szCs w:val="22"/>
          <w:lang w:val="en-US"/>
        </w:rPr>
        <w:t>Garrett et al. (2019)</w:t>
      </w:r>
      <w:r w:rsidR="00B7232A" w:rsidRPr="00B333D4">
        <w:rPr>
          <w:rFonts w:ascii="Adobe Garamond Pro" w:hAnsi="Adobe Garamond Pro"/>
          <w:sz w:val="22"/>
          <w:szCs w:val="22"/>
          <w:lang w:val="en-US"/>
        </w:rPr>
        <w:fldChar w:fldCharType="end"/>
      </w:r>
      <w:r w:rsidR="00B7232A" w:rsidRPr="00B333D4">
        <w:rPr>
          <w:rFonts w:ascii="Adobe Garamond Pro" w:hAnsi="Adobe Garamond Pro"/>
          <w:sz w:val="22"/>
          <w:szCs w:val="22"/>
          <w:lang w:val="en-US"/>
        </w:rPr>
        <w:t>, yang menyatakan bahwa transparansi di sektor komoditas tropis semakin bergantung pada integrasi laporan sosial-ekonomi dengan data biofisik beresolusi tinggi. Artinya verifikasi laporan keberlanjutan perusahaan telah bergeser dari sekadar klaim administratif menjadi bukti empiris berdasarkan data satelit objektif.</w:t>
      </w:r>
      <w:bookmarkEnd w:id="18"/>
    </w:p>
    <w:p w14:paraId="655AB789" w14:textId="29475DF4" w:rsidR="00E17944" w:rsidRDefault="00BF558E" w:rsidP="00691E7B">
      <w:pPr>
        <w:pStyle w:val="BodyText"/>
        <w:spacing w:line="360" w:lineRule="auto"/>
        <w:ind w:left="0" w:right="49" w:firstLine="567"/>
        <w:rPr>
          <w:rFonts w:ascii="Adobe Garamond Pro" w:hAnsi="Adobe Garamond Pro"/>
          <w:sz w:val="22"/>
          <w:szCs w:val="22"/>
          <w:lang w:val="en-US"/>
        </w:rPr>
      </w:pPr>
      <w:bookmarkStart w:id="19" w:name="_Hlk217647777"/>
      <w:bookmarkEnd w:id="17"/>
      <w:r>
        <w:rPr>
          <w:rFonts w:ascii="Adobe Garamond Pro" w:hAnsi="Adobe Garamond Pro"/>
          <w:sz w:val="22"/>
          <w:szCs w:val="22"/>
          <w:lang w:val="en-US"/>
        </w:rPr>
        <w:t>M</w:t>
      </w:r>
      <w:r w:rsidR="00B7232A" w:rsidRPr="00B333D4">
        <w:rPr>
          <w:rFonts w:ascii="Adobe Garamond Pro" w:hAnsi="Adobe Garamond Pro"/>
          <w:sz w:val="22"/>
          <w:szCs w:val="22"/>
          <w:lang w:val="en-US"/>
        </w:rPr>
        <w:t>etode kualitatif (32%) dan metode campuran (21%) dalam sampel ini memberikan tingkat analisis yang tidak dapat dicapai hanya dengan data numerik. Metode kualitatif</w:t>
      </w:r>
      <w:r w:rsidR="00E17944">
        <w:rPr>
          <w:rFonts w:ascii="Adobe Garamond Pro" w:hAnsi="Adobe Garamond Pro"/>
          <w:sz w:val="22"/>
          <w:szCs w:val="22"/>
          <w:lang w:val="en-US"/>
        </w:rPr>
        <w:t xml:space="preserve"> dengan menganalisis seluruh klaim keberlanjutan dan membandingkannya dengan fakta ekologis</w:t>
      </w:r>
      <w:r w:rsidR="00B7232A" w:rsidRPr="00B333D4">
        <w:rPr>
          <w:rFonts w:ascii="Adobe Garamond Pro" w:hAnsi="Adobe Garamond Pro"/>
          <w:sz w:val="22"/>
          <w:szCs w:val="22"/>
          <w:lang w:val="en-US"/>
        </w:rPr>
        <w:t xml:space="preserve">, tetap menjadi alat penting untuk menganalisis informasi dalam laporan keberlanjutan dan </w:t>
      </w:r>
      <w:r w:rsidR="00E17944">
        <w:rPr>
          <w:rFonts w:ascii="Adobe Garamond Pro" w:hAnsi="Adobe Garamond Pro"/>
          <w:sz w:val="22"/>
          <w:szCs w:val="22"/>
          <w:lang w:val="en-US"/>
        </w:rPr>
        <w:t>perkembangan, serta perbedaan kepentingan antar stakeholder, khususnya pada industri kelapa sawit</w:t>
      </w:r>
      <w:r w:rsidR="00B7232A" w:rsidRPr="00B333D4">
        <w:rPr>
          <w:rFonts w:ascii="Adobe Garamond Pro" w:hAnsi="Adobe Garamond Pro"/>
          <w:sz w:val="22"/>
          <w:szCs w:val="22"/>
          <w:lang w:val="en-US"/>
        </w:rPr>
        <w:t xml:space="preserve">. Hal ini sejalan dengan pandangan </w:t>
      </w:r>
      <w:r w:rsidR="00B7232A" w:rsidRPr="00B333D4">
        <w:rPr>
          <w:rFonts w:ascii="Adobe Garamond Pro" w:hAnsi="Adobe Garamond Pro"/>
          <w:sz w:val="22"/>
          <w:szCs w:val="22"/>
          <w:lang w:val="en-US"/>
        </w:rPr>
        <w:fldChar w:fldCharType="begin" w:fldLock="1"/>
      </w:r>
      <w:r w:rsidR="00B7232A" w:rsidRPr="00B333D4">
        <w:rPr>
          <w:rFonts w:ascii="Adobe Garamond Pro" w:hAnsi="Adobe Garamond Pro"/>
          <w:sz w:val="22"/>
          <w:szCs w:val="22"/>
          <w:lang w:val="en-US"/>
        </w:rPr>
        <w:instrText>ADDIN CSL_CITATION {"citationItems":[{"id":"ITEM-1","itemData":{"ISSN":"0301-4797","author":[{"dropping-particle":"","family":"Azhar","given":"Badrul","non-dropping-particle":"","parse-names":false,"suffix":""},{"dropping-particle":"","family":"Saadun","given":"Norzanalia","non-dropping-particle":"","parse-names":false,"suffix":""},{"dropping-particle":"","family":"Prideaux","given":"Margi","non-dropping-particle":"","parse-names":false,"suffix":""},{"dropping-particle":"","family":"Lindenmayer","given":"David B","non-dropping-particle":"","parse-names":false,"suffix":""}],"container-title":"Journal of environmental management","id":"ITEM-1","issued":{"date-parts":[["2017"]]},"page":"457-466","publisher":"Elsevier","title":"The global palm oil sector must change to save biodiversity and improve food security in the tropics","type":"article-journal","volume":"203"},"uris":["http://www.mendeley.com/documents/?uuid=f6b5343e-6280-4a62-95e2-02be8211fcb9"]}],"mendeley":{"formattedCitation":"(Azhar et al., 2017)","manualFormatting":"Azhar et al. (2017)","plainTextFormattedCitation":"(Azhar et al., 2017)","previouslyFormattedCitation":"(Azhar et al., 2017)"},"properties":{"noteIndex":0},"schema":"https://github.com/citation-style-language/schema/raw/master/csl-citation.json"}</w:instrText>
      </w:r>
      <w:r w:rsidR="00B7232A" w:rsidRPr="00B333D4">
        <w:rPr>
          <w:rFonts w:ascii="Adobe Garamond Pro" w:hAnsi="Adobe Garamond Pro"/>
          <w:sz w:val="22"/>
          <w:szCs w:val="22"/>
          <w:lang w:val="en-US"/>
        </w:rPr>
        <w:fldChar w:fldCharType="separate"/>
      </w:r>
      <w:r w:rsidR="00B7232A" w:rsidRPr="00B333D4">
        <w:rPr>
          <w:rFonts w:ascii="Adobe Garamond Pro" w:hAnsi="Adobe Garamond Pro"/>
          <w:noProof/>
          <w:sz w:val="22"/>
          <w:szCs w:val="22"/>
          <w:lang w:val="en-US"/>
        </w:rPr>
        <w:t>Azhar et al. (2017)</w:t>
      </w:r>
      <w:r w:rsidR="00B7232A" w:rsidRPr="00B333D4">
        <w:rPr>
          <w:rFonts w:ascii="Adobe Garamond Pro" w:hAnsi="Adobe Garamond Pro"/>
          <w:sz w:val="22"/>
          <w:szCs w:val="22"/>
          <w:lang w:val="en-US"/>
        </w:rPr>
        <w:fldChar w:fldCharType="end"/>
      </w:r>
      <w:r w:rsidR="00B7232A" w:rsidRPr="00B333D4">
        <w:rPr>
          <w:rFonts w:ascii="Adobe Garamond Pro" w:hAnsi="Adobe Garamond Pro"/>
          <w:sz w:val="22"/>
          <w:szCs w:val="22"/>
          <w:lang w:val="en-US"/>
        </w:rPr>
        <w:t xml:space="preserve"> bahwa efektivitas tata kelola komoditas global bergantung pada penelitian berbasis bukti yang dapat mengungkap praktik greenwashing. Dengan menggabungkan literatur yang menggunakan berbagai metode ini, penelitian memiliki fondasi triangulasi yang kuat, yang tidak hanya melihat apa yang dilaporkan perusahaan tentang </w:t>
      </w:r>
      <w:r w:rsidR="00B7232A" w:rsidRPr="00B333D4">
        <w:rPr>
          <w:rFonts w:ascii="Adobe Garamond Pro" w:hAnsi="Adobe Garamond Pro"/>
          <w:sz w:val="22"/>
          <w:szCs w:val="22"/>
          <w:lang w:val="en-US"/>
        </w:rPr>
        <w:lastRenderedPageBreak/>
        <w:t>keberlanjutan bisnis kelapa sawit, tetapi juga bagaimana dan sejauh mana laporan tersebut sesuai dengan realitas ekologis dan sosial di lapangan</w:t>
      </w:r>
      <w:r w:rsidR="003053C2" w:rsidRPr="00B333D4">
        <w:rPr>
          <w:rFonts w:ascii="Adobe Garamond Pro" w:hAnsi="Adobe Garamond Pro"/>
          <w:sz w:val="22"/>
          <w:szCs w:val="22"/>
          <w:lang w:val="en-US"/>
        </w:rPr>
        <w:t>.</w:t>
      </w:r>
      <w:bookmarkEnd w:id="19"/>
    </w:p>
    <w:p w14:paraId="7E8F528D" w14:textId="7E30EFD4" w:rsidR="00E17944" w:rsidRPr="00DA0228" w:rsidRDefault="00E17944" w:rsidP="00691E7B">
      <w:pPr>
        <w:pStyle w:val="ListParagraph"/>
        <w:numPr>
          <w:ilvl w:val="0"/>
          <w:numId w:val="10"/>
        </w:numPr>
        <w:tabs>
          <w:tab w:val="left" w:pos="0"/>
          <w:tab w:val="left" w:pos="360"/>
        </w:tabs>
        <w:suppressAutoHyphens/>
        <w:spacing w:after="0" w:line="360" w:lineRule="auto"/>
        <w:ind w:left="567" w:hanging="567"/>
        <w:jc w:val="both"/>
        <w:rPr>
          <w:rFonts w:ascii="Arial" w:hAnsi="Arial" w:cs="Arial"/>
          <w:bCs/>
          <w:i/>
          <w:iCs/>
          <w:color w:val="C45911" w:themeColor="accent2" w:themeShade="BF"/>
        </w:rPr>
      </w:pPr>
      <w:r w:rsidRPr="00DA0228">
        <w:rPr>
          <w:rFonts w:ascii="Arial" w:hAnsi="Arial" w:cs="Arial"/>
          <w:bCs/>
          <w:i/>
          <w:iCs/>
          <w:color w:val="C45911" w:themeColor="accent2" w:themeShade="BF"/>
        </w:rPr>
        <w:t>Pola Umum Deforestasi</w:t>
      </w:r>
    </w:p>
    <w:p w14:paraId="1F40E581" w14:textId="5A84874C" w:rsidR="00E17944" w:rsidRPr="00E17944" w:rsidRDefault="00E17944" w:rsidP="00691E7B">
      <w:pPr>
        <w:pStyle w:val="BodyText"/>
        <w:spacing w:before="1" w:line="360" w:lineRule="auto"/>
        <w:ind w:left="0" w:right="49"/>
        <w:rPr>
          <w:rFonts w:ascii="Adobe Garamond Pro" w:hAnsi="Adobe Garamond Pro"/>
          <w:sz w:val="22"/>
          <w:szCs w:val="22"/>
          <w:lang w:val="en-US"/>
        </w:rPr>
      </w:pPr>
      <w:bookmarkStart w:id="20" w:name="_Hlk217647872"/>
      <w:r w:rsidRPr="00E17944">
        <w:rPr>
          <w:rFonts w:ascii="Adobe Garamond Pro" w:hAnsi="Adobe Garamond Pro"/>
          <w:sz w:val="22"/>
          <w:szCs w:val="22"/>
          <w:lang w:val="en-US"/>
        </w:rPr>
        <w:t xml:space="preserve">Beberapa studi selama dua dekade terakhir menunjukkan bahwa ekspansi perkebunan kelapa sawit terbukti menjadi penyumbang signifikan terhadap deforestasi di Indonesia. Studi oleh </w:t>
      </w:r>
      <w:r w:rsidRPr="00E17944">
        <w:rPr>
          <w:rFonts w:ascii="Adobe Garamond Pro" w:hAnsi="Adobe Garamond Pro"/>
          <w:sz w:val="22"/>
          <w:szCs w:val="22"/>
          <w:lang w:val="en-US"/>
        </w:rPr>
        <w:fldChar w:fldCharType="begin" w:fldLock="1"/>
      </w:r>
      <w:r w:rsidRPr="00E17944">
        <w:rPr>
          <w:rFonts w:ascii="Adobe Garamond Pro" w:hAnsi="Adobe Garamond Pro"/>
          <w:sz w:val="22"/>
          <w:szCs w:val="22"/>
          <w:lang w:val="en-US"/>
        </w:rPr>
        <w:instrText>ADDIN CSL_CITATION {"citationItems":[{"id":"ITEM-1","itemData":{"ISSN":"1755-263X","author":[{"dropping-particle":"","family":"Koh","given":"Lian Pin","non-dropping-particle":"","parse-names":false,"suffix":""},{"dropping-particle":"","family":"Wilcove","given":"David S","non-dropping-particle":"","parse-names":false,"suffix":""}],"container-title":"Conservation letters","id":"ITEM-1","issue":"2","issued":{"date-parts":[["2008"]]},"page":"60-64","publisher":"Wiley Online Library","title":"Is oil palm agriculture really destroying tropical biodiversity?","type":"article-journal","volume":"1"},"uris":["http://www.mendeley.com/documents/?uuid=e3356bae-efd0-406e-a3dc-89922e956c3f"]},{"id":"ITEM-2","itemData":{"ISSN":"0169-5347","author":[{"dropping-particle":"","family":"Fitzherbert","given":"Emily B","non-dropping-particle":"","parse-names":false,"suffix":""},{"dropping-particle":"","family":"Struebig","given":"Matthew J","non-dropping-particle":"","parse-names":false,"suffix":""},{"dropping-particle":"","family":"Morel","given":"Alexandra","non-dropping-particle":"","parse-names":false,"suffix":""},{"dropping-particle":"","family":"Danielsen","given":"Finn","non-dropping-particle":"","parse-names":false,"suffix":""},{"dropping-particle":"","family":"Brühl","given":"Carsten A","non-dropping-particle":"","parse-names":false,"suffix":""},{"dropping-particle":"","family":"Donald","given":"Paul F","non-dropping-particle":"","parse-names":false,"suffix":""},{"dropping-particle":"","family":"Phalan","given":"Ben","non-dropping-particle":"","parse-names":false,"suffix":""}],"container-title":"Trends in ecology &amp; evolution","id":"ITEM-2","issue":"10","issued":{"date-parts":[["2008"]]},"page":"538-545","publisher":"Elsevier","title":"How will oil palm expansion affect biodiversity?","type":"article-journal","volume":"23"},"uris":["http://www.mendeley.com/documents/?uuid=a4a8bc3d-c040-4124-bb7d-1d427c38c0db"]}],"mendeley":{"formattedCitation":"(Fitzherbert et al., 2008; Koh &amp; Wilcove, 2008)","manualFormatting":"Fitzherbert et al. (2008) dan Koh &amp; Wilcove (2008)","plainTextFormattedCitation":"(Fitzherbert et al., 2008; Koh &amp; Wilcove, 2008)","previouslyFormattedCitation":"(Fitzherbert et al., 2008; Koh &amp; Wilcove, 2008)"},"properties":{"noteIndex":0},"schema":"https://github.com/citation-style-language/schema/raw/master/csl-citation.json"}</w:instrText>
      </w:r>
      <w:r w:rsidRPr="00E17944">
        <w:rPr>
          <w:rFonts w:ascii="Adobe Garamond Pro" w:hAnsi="Adobe Garamond Pro"/>
          <w:sz w:val="22"/>
          <w:szCs w:val="22"/>
          <w:lang w:val="en-US"/>
        </w:rPr>
        <w:fldChar w:fldCharType="separate"/>
      </w:r>
      <w:r w:rsidRPr="00E17944">
        <w:rPr>
          <w:rFonts w:ascii="Adobe Garamond Pro" w:hAnsi="Adobe Garamond Pro"/>
          <w:noProof/>
          <w:sz w:val="22"/>
          <w:szCs w:val="22"/>
          <w:lang w:val="en-US"/>
        </w:rPr>
        <w:t>Fitzherbert et al. (2008) dan Koh &amp; Wilcove (2008)</w:t>
      </w:r>
      <w:r w:rsidRPr="00E17944">
        <w:rPr>
          <w:rFonts w:ascii="Adobe Garamond Pro" w:hAnsi="Adobe Garamond Pro"/>
          <w:sz w:val="22"/>
          <w:szCs w:val="22"/>
          <w:lang w:val="en-US"/>
        </w:rPr>
        <w:fldChar w:fldCharType="end"/>
      </w:r>
      <w:r w:rsidRPr="00E17944">
        <w:rPr>
          <w:rFonts w:ascii="Adobe Garamond Pro" w:hAnsi="Adobe Garamond Pro"/>
          <w:sz w:val="22"/>
          <w:szCs w:val="22"/>
          <w:lang w:val="en-US"/>
        </w:rPr>
        <w:t xml:space="preserve"> menunjukkan bahwa konversi hutan tropis menjadi perkebunan sawit menyebabkan hilangnya struktur habitat secara drastis, penurunan keanekaragaman hayati hingga 70%, dan menurunkan kemampuan ekosistem menyimpan karbon. Sejalan dengan itu, </w:t>
      </w:r>
      <w:r w:rsidRPr="00E17944">
        <w:rPr>
          <w:rFonts w:ascii="Adobe Garamond Pro" w:hAnsi="Adobe Garamond Pro"/>
          <w:sz w:val="22"/>
          <w:szCs w:val="22"/>
          <w:lang w:val="en-US"/>
        </w:rPr>
        <w:fldChar w:fldCharType="begin" w:fldLock="1"/>
      </w:r>
      <w:r w:rsidRPr="00E17944">
        <w:rPr>
          <w:rFonts w:ascii="Adobe Garamond Pro" w:hAnsi="Adobe Garamond Pro"/>
          <w:sz w:val="22"/>
          <w:szCs w:val="22"/>
          <w:lang w:val="en-US"/>
        </w:rPr>
        <w:instrText>ADDIN CSL_CITATION {"citationItems":[{"id":"ITEM-1","itemData":{"ISSN":"1758-678X","author":[{"dropping-particle":"","family":"Margono","given":"Belinda Arunarwati","non-dropping-particle":"","parse-names":false,"suffix":""},{"dropping-particle":"V","family":"Potapov","given":"Peter","non-dropping-particle":"","parse-names":false,"suffix":""},{"dropping-particle":"","family":"Turubanova","given":"Svetlana","non-dropping-particle":"","parse-names":false,"suffix":""},{"dropping-particle":"","family":"Stolle","given":"Fred","non-dropping-particle":"","parse-names":false,"suffix":""},{"dropping-particle":"","family":"Hansen","given":"Matthew C","non-dropping-particle":"","parse-names":false,"suffix":""}],"container-title":"Nature climate change","id":"ITEM-1","issue":"8","issued":{"date-parts":[["2014"]]},"page":"730-735","publisher":"Nature Publishing Group UK London","title":"Primary forest cover loss in Indonesia over 2000–2012","type":"article-journal","volume":"4"},"uris":["http://www.mendeley.com/documents/?uuid=0016eda3-64c1-4ab1-98f4-61ff8e8c89f3"]}],"mendeley":{"formattedCitation":"(Margono et al., 2014)","manualFormatting":"Margono et al. (2014)","plainTextFormattedCitation":"(Margono et al., 2014)","previouslyFormattedCitation":"(Margono et al., 2014)"},"properties":{"noteIndex":0},"schema":"https://github.com/citation-style-language/schema/raw/master/csl-citation.json"}</w:instrText>
      </w:r>
      <w:r w:rsidRPr="00E17944">
        <w:rPr>
          <w:rFonts w:ascii="Adobe Garamond Pro" w:hAnsi="Adobe Garamond Pro"/>
          <w:sz w:val="22"/>
          <w:szCs w:val="22"/>
          <w:lang w:val="en-US"/>
        </w:rPr>
        <w:fldChar w:fldCharType="separate"/>
      </w:r>
      <w:r w:rsidRPr="00E17944">
        <w:rPr>
          <w:rFonts w:ascii="Adobe Garamond Pro" w:hAnsi="Adobe Garamond Pro"/>
          <w:noProof/>
          <w:sz w:val="22"/>
          <w:szCs w:val="22"/>
          <w:lang w:val="en-US"/>
        </w:rPr>
        <w:t>Margono et al. (2014)</w:t>
      </w:r>
      <w:r w:rsidRPr="00E17944">
        <w:rPr>
          <w:rFonts w:ascii="Adobe Garamond Pro" w:hAnsi="Adobe Garamond Pro"/>
          <w:sz w:val="22"/>
          <w:szCs w:val="22"/>
          <w:lang w:val="en-US"/>
        </w:rPr>
        <w:fldChar w:fldCharType="end"/>
      </w:r>
      <w:r w:rsidRPr="00E17944">
        <w:rPr>
          <w:rFonts w:ascii="Adobe Garamond Pro" w:hAnsi="Adobe Garamond Pro"/>
          <w:sz w:val="22"/>
          <w:szCs w:val="22"/>
          <w:lang w:val="en-US"/>
        </w:rPr>
        <w:t xml:space="preserve"> dan </w:t>
      </w:r>
      <w:r w:rsidRPr="00E17944">
        <w:rPr>
          <w:rFonts w:ascii="Adobe Garamond Pro" w:hAnsi="Adobe Garamond Pro"/>
          <w:sz w:val="22"/>
          <w:szCs w:val="22"/>
          <w:lang w:val="en-US"/>
        </w:rPr>
        <w:fldChar w:fldCharType="begin" w:fldLock="1"/>
      </w:r>
      <w:r w:rsidRPr="00E17944">
        <w:rPr>
          <w:rFonts w:ascii="Adobe Garamond Pro" w:hAnsi="Adobe Garamond Pro"/>
          <w:sz w:val="22"/>
          <w:szCs w:val="22"/>
          <w:lang w:val="en-US"/>
        </w:rPr>
        <w:instrText>ADDIN CSL_CITATION {"citationItems":[{"id":"ITEM-1","itemData":{"ISSN":"2045-2322","author":[{"dropping-particle":"","family":"Gaveau","given":"David L A","non-dropping-particle":"","parse-names":false,"suffix":""},{"dropping-particle":"","family":"Sheil","given":"Douglas","non-dropping-particle":"","parse-names":false,"suffix":""},{"dropping-particle":"","family":"Husnayaen","given":"","non-dropping-particle":"","parse-names":false,"suffix":""},{"dropping-particle":"","family":"Salim","given":"Mohammad A","non-dropping-particle":"","parse-names":false,"suffix":""},{"dropping-particle":"","family":"Arjasakusuma","given":"Sanjiwana","non-dropping-particle":"","parse-names":false,"suffix":""},{"dropping-particle":"","family":"Ancrenaz","given":"Marc","non-dropping-particle":"","parse-names":false,"suffix":""},{"dropping-particle":"","family":"Pacheco","given":"Pablo","non-dropping-particle":"","parse-names":false,"suffix":""},{"dropping-particle":"","family":"Meijaard","given":"Erik","non-dropping-particle":"","parse-names":false,"suffix":""}],"container-title":"Scientific reports","id":"ITEM-1","issue":"1","issued":{"date-parts":[["2016"]]},"page":"32017","publisher":"Nature Publishing Group UK London","title":"Rapid conversions and avoided deforestation: examining four decades of industrial plantation expansion in Borneo","type":"article-journal","volume":"6"},"uris":["http://www.mendeley.com/documents/?uuid=af08cef1-42cc-46b2-8766-4ede14933c1e"]}],"mendeley":{"formattedCitation":"(Gaveau et al., 2016)","manualFormatting":"Gaveau et al. (2016)","plainTextFormattedCitation":"(Gaveau et al., 2016)","previouslyFormattedCitation":"(Gaveau et al., 2016)"},"properties":{"noteIndex":0},"schema":"https://github.com/citation-style-language/schema/raw/master/csl-citation.json"}</w:instrText>
      </w:r>
      <w:r w:rsidRPr="00E17944">
        <w:rPr>
          <w:rFonts w:ascii="Adobe Garamond Pro" w:hAnsi="Adobe Garamond Pro"/>
          <w:sz w:val="22"/>
          <w:szCs w:val="22"/>
          <w:lang w:val="en-US"/>
        </w:rPr>
        <w:fldChar w:fldCharType="separate"/>
      </w:r>
      <w:r w:rsidRPr="00E17944">
        <w:rPr>
          <w:rFonts w:ascii="Adobe Garamond Pro" w:hAnsi="Adobe Garamond Pro"/>
          <w:noProof/>
          <w:sz w:val="22"/>
          <w:szCs w:val="22"/>
          <w:lang w:val="en-US"/>
        </w:rPr>
        <w:t>Gaveau et al. (2016)</w:t>
      </w:r>
      <w:r w:rsidRPr="00E17944">
        <w:rPr>
          <w:rFonts w:ascii="Adobe Garamond Pro" w:hAnsi="Adobe Garamond Pro"/>
          <w:sz w:val="22"/>
          <w:szCs w:val="22"/>
          <w:lang w:val="en-US"/>
        </w:rPr>
        <w:fldChar w:fldCharType="end"/>
      </w:r>
      <w:r w:rsidRPr="00E17944">
        <w:rPr>
          <w:rFonts w:ascii="Adobe Garamond Pro" w:hAnsi="Adobe Garamond Pro"/>
          <w:sz w:val="22"/>
          <w:szCs w:val="22"/>
          <w:lang w:val="en-US"/>
        </w:rPr>
        <w:t xml:space="preserve"> menunjukkan bahwa kehilangan hutan primer di Indonesia pada periode 2000–2015 sebagian besar terjadi di wilayah ekspansi sawit, terutama di Sumatra dan Kalimantan.</w:t>
      </w:r>
    </w:p>
    <w:p w14:paraId="0575CA55" w14:textId="1A499D99" w:rsidR="00E17944" w:rsidRPr="00691E7B" w:rsidRDefault="00E17944" w:rsidP="00691E7B">
      <w:pPr>
        <w:pStyle w:val="BodyText"/>
        <w:spacing w:before="1" w:line="360" w:lineRule="auto"/>
        <w:ind w:left="0" w:right="49" w:firstLine="567"/>
        <w:rPr>
          <w:rFonts w:ascii="Adobe Garamond Pro" w:hAnsi="Adobe Garamond Pro"/>
          <w:sz w:val="22"/>
          <w:szCs w:val="22"/>
        </w:rPr>
      </w:pPr>
      <w:r w:rsidRPr="00E17944">
        <w:rPr>
          <w:rFonts w:ascii="Adobe Garamond Pro" w:hAnsi="Adobe Garamond Pro"/>
          <w:sz w:val="22"/>
          <w:szCs w:val="22"/>
        </w:rPr>
        <w:t xml:space="preserve">Study Literatur ini menegaskan fenomena bahwa deforestasi tidak hanya dipicu oleh ekspansi korporasi besar, tetapi juga oleh indirect supply dan smallholder expansion. </w:t>
      </w:r>
      <w:r w:rsidRPr="00E17944">
        <w:rPr>
          <w:rFonts w:ascii="Adobe Garamond Pro" w:hAnsi="Adobe Garamond Pro"/>
          <w:sz w:val="22"/>
          <w:szCs w:val="22"/>
        </w:rPr>
        <w:fldChar w:fldCharType="begin" w:fldLock="1"/>
      </w:r>
      <w:r w:rsidRPr="00E17944">
        <w:rPr>
          <w:rFonts w:ascii="Adobe Garamond Pro" w:hAnsi="Adobe Garamond Pro"/>
          <w:sz w:val="22"/>
          <w:szCs w:val="22"/>
        </w:rPr>
        <w:instrText>ADDIN CSL_CITATION {"citationItems":[{"id":"ITEM-1","itemData":{"ISSN":"2351-9894","author":[{"dropping-particle":"","family":"Miettinen","given":"Jukka","non-dropping-particle":"","parse-names":false,"suffix":""},{"dropping-particle":"","family":"Shi","given":"Chenghua","non-dropping-particle":"","parse-names":false,"suffix":""},{"dropping-particle":"","family":"Liew","given":"Soo Chin","non-dropping-particle":"","parse-names":false,"suffix":""}],"container-title":"Global Ecology and Conservation","id":"ITEM-1","issued":{"date-parts":[["2016"]]},"page":"67-78","publisher":"Elsevier","title":"Land cover distribution in the peatlands of Peninsular Malaysia, Sumatra and Borneo in 2015 with changes since 1990","type":"article-journal","volume":"6"},"uris":["http://www.mendeley.com/documents/?uuid=649ce24d-ed3c-4c85-a790-599a21fc091b"]}],"mendeley":{"formattedCitation":"(Miettinen et al., 2016)","manualFormatting":"Miettinen et al. (2016)","plainTextFormattedCitation":"(Miettinen et al., 2016)","previouslyFormattedCitation":"(Miettinen et al., 2016)"},"properties":{"noteIndex":0},"schema":"https://github.com/citation-style-language/schema/raw/master/csl-citation.json"}</w:instrText>
      </w:r>
      <w:r w:rsidRPr="00E17944">
        <w:rPr>
          <w:rFonts w:ascii="Adobe Garamond Pro" w:hAnsi="Adobe Garamond Pro"/>
          <w:sz w:val="22"/>
          <w:szCs w:val="22"/>
        </w:rPr>
        <w:fldChar w:fldCharType="separate"/>
      </w:r>
      <w:r w:rsidRPr="00E17944">
        <w:rPr>
          <w:rFonts w:ascii="Adobe Garamond Pro" w:hAnsi="Adobe Garamond Pro"/>
          <w:noProof/>
          <w:sz w:val="22"/>
          <w:szCs w:val="22"/>
        </w:rPr>
        <w:t>Miettinen et al. (2016)</w:t>
      </w:r>
      <w:r w:rsidRPr="00E17944">
        <w:rPr>
          <w:rFonts w:ascii="Adobe Garamond Pro" w:hAnsi="Adobe Garamond Pro"/>
          <w:sz w:val="22"/>
          <w:szCs w:val="22"/>
        </w:rPr>
        <w:fldChar w:fldCharType="end"/>
      </w:r>
      <w:r w:rsidRPr="00E17944">
        <w:rPr>
          <w:rFonts w:ascii="Adobe Garamond Pro" w:hAnsi="Adobe Garamond Pro"/>
          <w:sz w:val="22"/>
          <w:szCs w:val="22"/>
        </w:rPr>
        <w:t xml:space="preserve"> memperlihatkan bahwa ekspansi sawit pada lahan gambut berkontribusi pada kebakaran hutan dan degradasi ekologis. Temuan ini konsisten dengan </w:t>
      </w:r>
      <w:r w:rsidRPr="00E17944">
        <w:rPr>
          <w:rFonts w:ascii="Adobe Garamond Pro" w:hAnsi="Adobe Garamond Pro"/>
          <w:sz w:val="22"/>
          <w:szCs w:val="22"/>
        </w:rPr>
        <w:fldChar w:fldCharType="begin" w:fldLock="1"/>
      </w:r>
      <w:r w:rsidRPr="00E17944">
        <w:rPr>
          <w:rFonts w:ascii="Adobe Garamond Pro" w:hAnsi="Adobe Garamond Pro"/>
          <w:sz w:val="22"/>
          <w:szCs w:val="22"/>
        </w:rPr>
        <w:instrText>ADDIN CSL_CITATION {"citationItems":[{"id":"ITEM-1","itemData":{"DOI":"10.1073/pnas.1704728114","author":[{"dropping-particle":"","family":"Carlson","given":"Kimberly M","non-dropping-particle":"","parse-names":false,"suffix":""},{"dropping-particle":"","family":"Heilmayr","given":"Robert","non-dropping-particle":"","parse-names":false,"suffix":""},{"dropping-particle":"","family":"Gibbs","given":"Holly K","non-dropping-particle":"","parse-names":false,"suffix":""},{"dropping-particle":"","family":"Noojipady","given":"Praveen","non-dropping-particle":"","parse-names":false,"suffix":""},{"dropping-particle":"","family":"Douglas","given":"David N Burns G","non-dropping-particle":"","parse-names":false,"suffix":""},{"dropping-particle":"","family":"Morton","given":"C H","non-dropping-particle":"","parse-names":false,"suffix":""},{"dropping-particle":"","family":"G","given":"Nathalie F Walker","non-dropping-particle":"","parse-names":false,"suffix":""},{"dropping-particle":"","family":"J","given":"Gary D Paoli","non-dropping-particle":"","parse-names":false,"suffix":""},{"dropping-particle":"","family":"Sumber","given":"A Departemen","non-dropping-particle":"","parse-names":false,"suffix":""},{"dropping-particle":"","family":"Alam","given":"Daya","non-dropping-particle":"","parse-names":false,"suffix":""},{"dropping-particle":"","family":"Hawaii","given":"Universitas","non-dropping-particle":"","parse-names":false,"suffix":""},{"dropping-particle":"","family":"Hidup","given":"B Institut Lingkungan","non-dropping-particle":"","parse-names":false,"suffix":""},{"dropping-particle":"","family":"Minnesota","given":"Universitas","non-dropping-particle":"","parse-names":false,"suffix":""},{"dropping-particle":"","family":"Lingkungan","given":"C Program Studi","non-dropping-particle":"","parse-names":false,"suffix":""},{"dropping-particle":"","family":"California","given":"Universitas","non-dropping-particle":"","parse-names":false,"suffix":""},{"dropping-particle":"","family":"Barbara","given":"Santa","non-dropping-particle":"","parse-names":false,"suffix":""},{"dropping-particle":"","family":"Geografi","given":"D Departemen","non-dropping-particle":"","parse-names":false,"suffix":""},{"dropping-particle":"","family":"Wisconsin","given":"Universitas","non-dropping-particle":"","parse-names":false,"suffix":""},{"dropping-particle":"","family":"Nelson","given":"Institut","non-dropping-particle":"","parse-names":false,"suffix":""},{"dropping-particle":"","family":"Wisconsin","given":"Universitas","non-dropping-particle":"","parse-names":false,"suffix":""},{"dropping-particle":"","family":"Geografi","given":"F Departemen","non-dropping-particle":"","parse-names":false,"suffix":""},{"dropping-particle":"","family":"Wisconsin","given":"Universitas","non-dropping-particle":"","parse-names":false,"suffix":""},{"dropping-particle":"","family":"Federasi","given":"G","non-dropping-particle":"","parse-names":false,"suffix":""},{"dropping-particle":"","family":"Nasional","given":"Satwa Liar","non-dropping-particle":"","parse-names":false,"suffix":""},{"dropping-particle":"","family":"Nasional","given":"Pusat Advokasi","non-dropping-particle":"","parse-names":false,"suffix":""},{"dropping-particle":"","family":"Biosfer","given":"H Laboratorium Ilmu","non-dropping-particle":"","parse-names":false,"suffix":""},{"dropping-particle":"","family":"Penerbangan","given":"Pusat","non-dropping-particle":"","parse-names":false,"suffix":""},{"dropping-particle":"","family":"Angkasa","given":"Luar","non-dropping-particle":"","parse-names":false,"suffix":""},{"dropping-particle":"","family":"Nasa","given":"Goddard","non-dropping-particle":"","parse-names":false,"suffix":""}],"id":"ITEM-1","issue":"1","issued":{"date-parts":[["2018"]]},"title":"Dampak sertifikasi keberlanjutan kelapa sawit terhadap deforestasi dan kebakaran di Indonesia","type":"article-journal"},"uris":["http://www.mendeley.com/documents/?uuid=6e6576a8-73a6-4343-a682-5ed5f693b248"]}],"mendeley":{"formattedCitation":"(Carlson et al., 2018)","manualFormatting":"Carlson et al. (2018)","plainTextFormattedCitation":"(Carlson et al., 2018)","previouslyFormattedCitation":"(Carlson et al., 2018)"},"properties":{"noteIndex":0},"schema":"https://github.com/citation-style-language/schema/raw/master/csl-citation.json"}</w:instrText>
      </w:r>
      <w:r w:rsidRPr="00E17944">
        <w:rPr>
          <w:rFonts w:ascii="Adobe Garamond Pro" w:hAnsi="Adobe Garamond Pro"/>
          <w:sz w:val="22"/>
          <w:szCs w:val="22"/>
        </w:rPr>
        <w:fldChar w:fldCharType="separate"/>
      </w:r>
      <w:r w:rsidRPr="00E17944">
        <w:rPr>
          <w:rFonts w:ascii="Adobe Garamond Pro" w:hAnsi="Adobe Garamond Pro"/>
          <w:noProof/>
          <w:sz w:val="22"/>
          <w:szCs w:val="22"/>
        </w:rPr>
        <w:t>Carlson et al. (2018)</w:t>
      </w:r>
      <w:r w:rsidRPr="00E17944">
        <w:rPr>
          <w:rFonts w:ascii="Adobe Garamond Pro" w:hAnsi="Adobe Garamond Pro"/>
          <w:sz w:val="22"/>
          <w:szCs w:val="22"/>
        </w:rPr>
        <w:fldChar w:fldCharType="end"/>
      </w:r>
      <w:r w:rsidRPr="00E17944">
        <w:rPr>
          <w:rFonts w:ascii="Adobe Garamond Pro" w:hAnsi="Adobe Garamond Pro"/>
          <w:sz w:val="22"/>
          <w:szCs w:val="22"/>
        </w:rPr>
        <w:t>, yang menemukan bahwa perkebunan non-sertifikasi memiliki tingkat kebakaran lebih tinggi dibanding perkebunan yang sudah memiliki sertifikasi RSPO. Secara keseluruhan, bukti ekologis memberikan kesimpulan bahwa deforestasi tetap berlangsung walaupun perusahaan telah mengadopsi sertifikasi atau kebijakan keberlanjutan, sehingga memunculkan pertanyaan mengenai konsistensi implementasi dan efektivitas audit lingkungan.</w:t>
      </w:r>
      <w:bookmarkEnd w:id="20"/>
    </w:p>
    <w:p w14:paraId="2FDABBA1" w14:textId="012DEBF7" w:rsidR="00E17944" w:rsidRPr="00DA0228" w:rsidRDefault="00E17944" w:rsidP="00691E7B">
      <w:pPr>
        <w:pStyle w:val="ListParagraph"/>
        <w:numPr>
          <w:ilvl w:val="0"/>
          <w:numId w:val="10"/>
        </w:numPr>
        <w:tabs>
          <w:tab w:val="left" w:pos="0"/>
          <w:tab w:val="left" w:pos="360"/>
        </w:tabs>
        <w:suppressAutoHyphens/>
        <w:spacing w:after="0" w:line="360" w:lineRule="auto"/>
        <w:ind w:left="567" w:hanging="567"/>
        <w:jc w:val="both"/>
        <w:rPr>
          <w:rFonts w:ascii="Arial" w:hAnsi="Arial" w:cs="Arial"/>
          <w:bCs/>
          <w:i/>
          <w:iCs/>
          <w:color w:val="C45911" w:themeColor="accent2" w:themeShade="BF"/>
        </w:rPr>
      </w:pPr>
      <w:r w:rsidRPr="00DA0228">
        <w:rPr>
          <w:rFonts w:ascii="Arial" w:hAnsi="Arial" w:cs="Arial"/>
          <w:bCs/>
          <w:i/>
          <w:iCs/>
          <w:color w:val="C45911" w:themeColor="accent2" w:themeShade="BF"/>
        </w:rPr>
        <w:t>Efektivitas Sertifikasi Keberlanjutan</w:t>
      </w:r>
    </w:p>
    <w:p w14:paraId="61097B90" w14:textId="1797BDD2" w:rsidR="00E17944" w:rsidRPr="00E17944" w:rsidRDefault="00E17944" w:rsidP="00691E7B">
      <w:pPr>
        <w:pStyle w:val="BodyText"/>
        <w:spacing w:before="1" w:line="360" w:lineRule="auto"/>
        <w:ind w:left="0" w:right="49"/>
        <w:rPr>
          <w:rFonts w:ascii="Adobe Garamond Pro" w:hAnsi="Adobe Garamond Pro"/>
          <w:sz w:val="22"/>
          <w:szCs w:val="22"/>
        </w:rPr>
      </w:pPr>
      <w:bookmarkStart w:id="21" w:name="_Hlk217647902"/>
      <w:r w:rsidRPr="00E17944">
        <w:rPr>
          <w:rFonts w:ascii="Adobe Garamond Pro" w:hAnsi="Adobe Garamond Pro"/>
          <w:sz w:val="22"/>
          <w:szCs w:val="22"/>
        </w:rPr>
        <w:t xml:space="preserve">Sertifikasi keberlanjutan seperti RSPO, ISPO, dan NDPE sangat berperan dalam mengurangi deforestasi, tetapi efektivitasnya tidak konsisten. </w:t>
      </w:r>
      <w:r w:rsidRPr="00E17944">
        <w:rPr>
          <w:rFonts w:ascii="Adobe Garamond Pro" w:hAnsi="Adobe Garamond Pro"/>
          <w:sz w:val="22"/>
          <w:szCs w:val="22"/>
        </w:rPr>
        <w:fldChar w:fldCharType="begin" w:fldLock="1"/>
      </w:r>
      <w:r w:rsidRPr="00E17944">
        <w:rPr>
          <w:rFonts w:ascii="Adobe Garamond Pro" w:hAnsi="Adobe Garamond Pro"/>
          <w:sz w:val="22"/>
          <w:szCs w:val="22"/>
        </w:rPr>
        <w:instrText>ADDIN CSL_CITATION {"citationItems":[{"id":"ITEM-1","itemData":{"DOI":"10.1073/pnas.1704728114","author":[{"dropping-particle":"","family":"Carlson","given":"Kimberly M","non-dropping-particle":"","parse-names":false,"suffix":""},{"dropping-particle":"","family":"Heilmayr","given":"Robert","non-dropping-particle":"","parse-names":false,"suffix":""},{"dropping-particle":"","family":"Gibbs","given":"Holly K","non-dropping-particle":"","parse-names":false,"suffix":""},{"dropping-particle":"","family":"Noojipady","given":"Praveen","non-dropping-particle":"","parse-names":false,"suffix":""},{"dropping-particle":"","family":"Douglas","given":"David N Burns G","non-dropping-particle":"","parse-names":false,"suffix":""},{"dropping-particle":"","family":"Morton","given":"C H","non-dropping-particle":"","parse-names":false,"suffix":""},{"dropping-particle":"","family":"G","given":"Nathalie F Walker","non-dropping-particle":"","parse-names":false,"suffix":""},{"dropping-particle":"","family":"J","given":"Gary D Paoli","non-dropping-particle":"","parse-names":false,"suffix":""},{"dropping-particle":"","family":"Sumber","given":"A Departemen","non-dropping-particle":"","parse-names":false,"suffix":""},{"dropping-particle":"","family":"Alam","given":"Daya","non-dropping-particle":"","parse-names":false,"suffix":""},{"dropping-particle":"","family":"Hawaii","given":"Universitas","non-dropping-particle":"","parse-names":false,"suffix":""},{"dropping-particle":"","family":"Hidup","given":"B Institut Lingkungan","non-dropping-particle":"","parse-names":false,"suffix":""},{"dropping-particle":"","family":"Minnesota","given":"Universitas","non-dropping-particle":"","parse-names":false,"suffix":""},{"dropping-particle":"","family":"Lingkungan","given":"C Program Studi","non-dropping-particle":"","parse-names":false,"suffix":""},{"dropping-particle":"","family":"California","given":"Universitas","non-dropping-particle":"","parse-names":false,"suffix":""},{"dropping-particle":"","family":"Barbara","given":"Santa","non-dropping-particle":"","parse-names":false,"suffix":""},{"dropping-particle":"","family":"Geografi","given":"D Departemen","non-dropping-particle":"","parse-names":false,"suffix":""},{"dropping-particle":"","family":"Wisconsin","given":"Universitas","non-dropping-particle":"","parse-names":false,"suffix":""},{"dropping-particle":"","family":"Nelson","given":"Institut","non-dropping-particle":"","parse-names":false,"suffix":""},{"dropping-particle":"","family":"Wisconsin","given":"Universitas","non-dropping-particle":"","parse-names":false,"suffix":""},{"dropping-particle":"","family":"Geografi","given":"F Departemen","non-dropping-particle":"","parse-names":false,"suffix":""},{"dropping-particle":"","family":"Wisconsin","given":"Universitas","non-dropping-particle":"","parse-names":false,"suffix":""},{"dropping-particle":"","family":"Federasi","given":"G","non-dropping-particle":"","parse-names":false,"suffix":""},{"dropping-particle":"","family":"Nasional","given":"Satwa Liar","non-dropping-particle":"","parse-names":false,"suffix":""},{"dropping-particle":"","family":"Nasional","given":"Pusat Advokasi","non-dropping-particle":"","parse-names":false,"suffix":""},{"dropping-particle":"","family":"Biosfer","given":"H Laboratorium Ilmu","non-dropping-particle":"","parse-names":false,"suffix":""},{"dropping-particle":"","family":"Penerbangan","given":"Pusat","non-dropping-particle":"","parse-names":false,"suffix":""},{"dropping-particle":"","family":"Angkasa","given":"Luar","non-dropping-particle":"","parse-names":false,"suffix":""},{"dropping-particle":"","family":"Nasa","given":"Goddard","non-dropping-particle":"","parse-names":false,"suffix":""}],"id":"ITEM-1","issue":"1","issued":{"date-parts":[["2018"]]},"title":"Dampak sertifikasi keberlanjutan kelapa sawit terhadap deforestasi dan kebakaran di Indonesia","type":"article-journal"},"uris":["http://www.mendeley.com/documents/?uuid=6e6576a8-73a6-4343-a682-5ed5f693b248"]}],"mendeley":{"formattedCitation":"(Carlson et al., 2018)","manualFormatting":"Carlson et al. (2018)","plainTextFormattedCitation":"(Carlson et al., 2018)","previouslyFormattedCitation":"(Carlson et al., 2018)"},"properties":{"noteIndex":0},"schema":"https://github.com/citation-style-language/schema/raw/master/csl-citation.json"}</w:instrText>
      </w:r>
      <w:r w:rsidRPr="00E17944">
        <w:rPr>
          <w:rFonts w:ascii="Adobe Garamond Pro" w:hAnsi="Adobe Garamond Pro"/>
          <w:sz w:val="22"/>
          <w:szCs w:val="22"/>
        </w:rPr>
        <w:fldChar w:fldCharType="separate"/>
      </w:r>
      <w:r w:rsidRPr="00E17944">
        <w:rPr>
          <w:rFonts w:ascii="Adobe Garamond Pro" w:hAnsi="Adobe Garamond Pro"/>
          <w:noProof/>
          <w:sz w:val="22"/>
          <w:szCs w:val="22"/>
        </w:rPr>
        <w:t>Carlson et al. (2018)</w:t>
      </w:r>
      <w:r w:rsidRPr="00E17944">
        <w:rPr>
          <w:rFonts w:ascii="Adobe Garamond Pro" w:hAnsi="Adobe Garamond Pro"/>
          <w:sz w:val="22"/>
          <w:szCs w:val="22"/>
        </w:rPr>
        <w:fldChar w:fldCharType="end"/>
      </w:r>
      <w:r w:rsidRPr="00E17944">
        <w:rPr>
          <w:rFonts w:ascii="Adobe Garamond Pro" w:hAnsi="Adobe Garamond Pro"/>
          <w:sz w:val="22"/>
          <w:szCs w:val="22"/>
        </w:rPr>
        <w:t xml:space="preserve"> menunjukkan bahwa RSPO mampu menurunkan deforestasi secara signifikan di beberapa wilayah, akan tetapi dampaknya terbatas karena tingginya jumlah pemasok tidak langsung (</w:t>
      </w:r>
      <w:r w:rsidRPr="00E17944">
        <w:rPr>
          <w:rFonts w:ascii="Adobe Garamond Pro" w:hAnsi="Adobe Garamond Pro"/>
          <w:i/>
          <w:iCs/>
          <w:sz w:val="22"/>
          <w:szCs w:val="22"/>
        </w:rPr>
        <w:t>indirect sourcing</w:t>
      </w:r>
      <w:r w:rsidRPr="00E17944">
        <w:rPr>
          <w:rFonts w:ascii="Adobe Garamond Pro" w:hAnsi="Adobe Garamond Pro"/>
          <w:sz w:val="22"/>
          <w:szCs w:val="22"/>
        </w:rPr>
        <w:t xml:space="preserve">) yang tidak terverifikasi. </w:t>
      </w:r>
      <w:r w:rsidRPr="00E17944">
        <w:rPr>
          <w:rFonts w:ascii="Adobe Garamond Pro" w:hAnsi="Adobe Garamond Pro"/>
          <w:sz w:val="22"/>
          <w:szCs w:val="22"/>
        </w:rPr>
        <w:fldChar w:fldCharType="begin" w:fldLock="1"/>
      </w:r>
      <w:r w:rsidRPr="00E17944">
        <w:rPr>
          <w:rFonts w:ascii="Adobe Garamond Pro" w:hAnsi="Adobe Garamond Pro"/>
          <w:sz w:val="22"/>
          <w:szCs w:val="22"/>
        </w:rPr>
        <w:instrText>ADDIN CSL_CITATION {"citationItems":[{"id":"ITEM-1","itemData":{"author":[{"dropping-particle":"","family":"Ermgassen","given":"Erasmus K H J","non-dropping-particle":"","parse-names":false,"suffix":""},{"dropping-particle":"","family":"Lima","given":"Mairon G Bastos","non-dropping-particle":"","parse-names":false,"suffix":""},{"dropping-particle":"","family":"Bellfield","given":"Helen","non-dropping-particle":"","parse-names":false,"suffix":""},{"dropping-particle":"","family":"Dontenville","given":"Adeline","non-dropping-particle":"","parse-names":false,"suffix":""},{"dropping-particle":"","family":"Gardner","given":"Toby","non-dropping-particle":"","parse-names":false,"suffix":""},{"dropping-particle":"","family":"Godar","given":"Javier","non-dropping-particle":"","parse-names":false,"suffix":""},{"dropping-particle":"","family":"Heilmayr","given":"Robert","non-dropping-particle":"","parse-names":false,"suffix":""},{"dropping-particle":"","family":"Indenbaum","given":"Rosa","non-dropping-particle":"","parse-names":false,"suffix":""},{"dropping-particle":"","family":"Reis","given":"Tiago N P","non-dropping-particle":"","parse-names":false,"suffix":""},{"dropping-particle":"","family":"Ribeiro","given":"Vivian","non-dropping-particle":"","parse-names":false,"suffix":""},{"dropping-particle":"","family":"Abu","given":"Itohan-osa","non-dropping-particle":"","parse-names":false,"suffix":""},{"dropping-particle":"","family":"Szantoi","given":"Zoltan","non-dropping-particle":"","parse-names":false,"suffix":""},{"dropping-particle":"","family":"Meyfroidt","given":"Patrick","non-dropping-particle":"","parse-names":false,"suffix":""}],"id":"ITEM-1","issue":"April","issued":{"date-parts":[["2022"]]},"page":"1-15","title":"Addressing indirect sourcing in zero deforestation commodity supply chains","type":"article-journal","volume":"3132"},"uris":["http://www.mendeley.com/documents/?uuid=853bf18c-54a5-448a-bfc1-a9c34548e009"]}],"mendeley":{"formattedCitation":"(Ermgassen et al., 2022)","manualFormatting":"Ermgassen et al. (2022)","plainTextFormattedCitation":"(Ermgassen et al., 2022)","previouslyFormattedCitation":"(Ermgassen et al., 2022)"},"properties":{"noteIndex":0},"schema":"https://github.com/citation-style-language/schema/raw/master/csl-citation.json"}</w:instrText>
      </w:r>
      <w:r w:rsidRPr="00E17944">
        <w:rPr>
          <w:rFonts w:ascii="Adobe Garamond Pro" w:hAnsi="Adobe Garamond Pro"/>
          <w:sz w:val="22"/>
          <w:szCs w:val="22"/>
        </w:rPr>
        <w:fldChar w:fldCharType="separate"/>
      </w:r>
      <w:r w:rsidRPr="00E17944">
        <w:rPr>
          <w:rFonts w:ascii="Adobe Garamond Pro" w:hAnsi="Adobe Garamond Pro"/>
          <w:noProof/>
          <w:sz w:val="22"/>
          <w:szCs w:val="22"/>
        </w:rPr>
        <w:t>Ermgassen et al. (2022)</w:t>
      </w:r>
      <w:r w:rsidRPr="00E17944">
        <w:rPr>
          <w:rFonts w:ascii="Adobe Garamond Pro" w:hAnsi="Adobe Garamond Pro"/>
          <w:sz w:val="22"/>
          <w:szCs w:val="22"/>
        </w:rPr>
        <w:fldChar w:fldCharType="end"/>
      </w:r>
      <w:r w:rsidRPr="00E17944">
        <w:rPr>
          <w:rFonts w:ascii="Adobe Garamond Pro" w:hAnsi="Adobe Garamond Pro"/>
          <w:sz w:val="22"/>
          <w:szCs w:val="22"/>
        </w:rPr>
        <w:t xml:space="preserve"> menekankan bahwa penyuplai tidak langsung sering menjadi sumber deforestasi yang tidak dapat dilacak (</w:t>
      </w:r>
      <w:r w:rsidRPr="00E17944">
        <w:rPr>
          <w:rFonts w:ascii="Adobe Garamond Pro" w:hAnsi="Adobe Garamond Pro"/>
          <w:i/>
          <w:iCs/>
          <w:sz w:val="22"/>
          <w:szCs w:val="22"/>
        </w:rPr>
        <w:t>untraceable</w:t>
      </w:r>
      <w:r w:rsidRPr="00E17944">
        <w:rPr>
          <w:rFonts w:ascii="Adobe Garamond Pro" w:hAnsi="Adobe Garamond Pro"/>
          <w:sz w:val="22"/>
          <w:szCs w:val="22"/>
        </w:rPr>
        <w:t>), sehingga komitmen NDPE perusahaan besar seperti Wilmar, GAR, dan Musim Mas tidak sepenuhnya tercermin dalam rantai pasok mereka.</w:t>
      </w:r>
    </w:p>
    <w:p w14:paraId="0467F19D" w14:textId="3359E241" w:rsidR="00E17944" w:rsidRPr="00691E7B" w:rsidRDefault="00691E7B" w:rsidP="00691E7B">
      <w:pPr>
        <w:pStyle w:val="BodyText"/>
        <w:spacing w:before="1" w:line="360" w:lineRule="auto"/>
        <w:ind w:left="0" w:right="49"/>
        <w:rPr>
          <w:rFonts w:ascii="Adobe Garamond Pro" w:hAnsi="Adobe Garamond Pro"/>
          <w:sz w:val="22"/>
          <w:szCs w:val="22"/>
        </w:rPr>
      </w:pPr>
      <w:r>
        <w:rPr>
          <w:rFonts w:ascii="Adobe Garamond Pro" w:hAnsi="Adobe Garamond Pro"/>
          <w:sz w:val="22"/>
          <w:szCs w:val="22"/>
        </w:rPr>
        <w:tab/>
      </w:r>
      <w:r w:rsidR="00E17944" w:rsidRPr="00E17944">
        <w:rPr>
          <w:rFonts w:ascii="Adobe Garamond Pro" w:hAnsi="Adobe Garamond Pro"/>
          <w:sz w:val="22"/>
          <w:szCs w:val="22"/>
        </w:rPr>
        <w:fldChar w:fldCharType="begin" w:fldLock="1"/>
      </w:r>
      <w:r w:rsidR="00E17944" w:rsidRPr="00E17944">
        <w:rPr>
          <w:rFonts w:ascii="Adobe Garamond Pro" w:hAnsi="Adobe Garamond Pro"/>
          <w:sz w:val="22"/>
          <w:szCs w:val="22"/>
        </w:rPr>
        <w:instrText>ADDIN CSL_CITATION {"citationItems":[{"id":"ITEM-1","itemData":{"author":[{"dropping-particle":"","family":"Soleha","given":"Nurhayati","non-dropping-particle":"","parse-names":false,"suffix":""},{"dropping-particle":"","family":"Rosiana","given":"Rita","non-dropping-particle":"","parse-names":false,"suffix":""}],"id":"ITEM-1","issue":"1","issued":{"date-parts":[["2021"]]},"page":"77-94","title":"Journal of Applied Business , Taxation and Economics Research ( JABTER ) Exploring Sustainability Reports in The Indonesian Palm Oil Industry","type":"article-journal","volume":"1"},"uris":["http://www.mendeley.com/documents/?uuid=f2e081e7-7665-4b64-8bca-b6006c759478"]}],"mendeley":{"formattedCitation":"(Soleha &amp; Rosiana, 2021)","manualFormatting":"Soleha &amp; Rosiana (2021)","plainTextFormattedCitation":"(Soleha &amp; Rosiana, 2021)","previouslyFormattedCitation":"(Soleha &amp; Rosiana, 2021)"},"properties":{"noteIndex":0},"schema":"https://github.com/citation-style-language/schema/raw/master/csl-citation.json"}</w:instrText>
      </w:r>
      <w:r w:rsidR="00E17944" w:rsidRPr="00E17944">
        <w:rPr>
          <w:rFonts w:ascii="Adobe Garamond Pro" w:hAnsi="Adobe Garamond Pro"/>
          <w:sz w:val="22"/>
          <w:szCs w:val="22"/>
        </w:rPr>
        <w:fldChar w:fldCharType="separate"/>
      </w:r>
      <w:r w:rsidR="00E17944" w:rsidRPr="00E17944">
        <w:rPr>
          <w:rFonts w:ascii="Adobe Garamond Pro" w:hAnsi="Adobe Garamond Pro"/>
          <w:noProof/>
          <w:sz w:val="22"/>
          <w:szCs w:val="22"/>
        </w:rPr>
        <w:t>Soleha &amp; Rosiana (2021)</w:t>
      </w:r>
      <w:r w:rsidR="00E17944" w:rsidRPr="00E17944">
        <w:rPr>
          <w:rFonts w:ascii="Adobe Garamond Pro" w:hAnsi="Adobe Garamond Pro"/>
          <w:sz w:val="22"/>
          <w:szCs w:val="22"/>
        </w:rPr>
        <w:fldChar w:fldCharType="end"/>
      </w:r>
      <w:r w:rsidR="00E17944" w:rsidRPr="00E17944">
        <w:rPr>
          <w:rFonts w:ascii="Adobe Garamond Pro" w:hAnsi="Adobe Garamond Pro"/>
          <w:sz w:val="22"/>
          <w:szCs w:val="22"/>
        </w:rPr>
        <w:t xml:space="preserve"> menunjukkan bahwa banyak komitmen NDPE diadopsi bukan karena kesadaran ekologis, melainkan tekanan pasar internasional. Dalam konteks Institutional Theory, fenomena ini disebut </w:t>
      </w:r>
      <w:r w:rsidR="00E17944" w:rsidRPr="00E17944">
        <w:rPr>
          <w:rFonts w:ascii="Adobe Garamond Pro" w:hAnsi="Adobe Garamond Pro"/>
          <w:i/>
          <w:iCs/>
          <w:sz w:val="22"/>
          <w:szCs w:val="22"/>
        </w:rPr>
        <w:t>coercive pressure</w:t>
      </w:r>
      <w:r w:rsidR="00E17944" w:rsidRPr="00E17944">
        <w:rPr>
          <w:rFonts w:ascii="Adobe Garamond Pro" w:hAnsi="Adobe Garamond Pro"/>
          <w:sz w:val="22"/>
          <w:szCs w:val="22"/>
        </w:rPr>
        <w:t xml:space="preserve"> dan </w:t>
      </w:r>
      <w:r w:rsidR="00E17944" w:rsidRPr="00E17944">
        <w:rPr>
          <w:rFonts w:ascii="Adobe Garamond Pro" w:hAnsi="Adobe Garamond Pro"/>
          <w:i/>
          <w:iCs/>
          <w:sz w:val="22"/>
          <w:szCs w:val="22"/>
        </w:rPr>
        <w:t>mimetic isomorphism</w:t>
      </w:r>
      <w:r w:rsidR="00E17944" w:rsidRPr="00E17944">
        <w:rPr>
          <w:rFonts w:ascii="Adobe Garamond Pro" w:hAnsi="Adobe Garamond Pro"/>
          <w:sz w:val="22"/>
          <w:szCs w:val="22"/>
        </w:rPr>
        <w:t>, yakni perusahaan mengikuti standar keberlanjutan untuk mempertahankan akses pasar dan reputasi, bukan karena perubahan internal. Hasilnya ditemukan bahwa sertifikasi belum mampu menangani akar masalah, terutama pemasok kecil dan rantai pasok tidak langsung. Dengan demikian, klaim “zero deforestation” dalam laporan perusahaan perlu diuji secara lebih kritis melalui audit yang lebih substantif.</w:t>
      </w:r>
      <w:bookmarkEnd w:id="21"/>
    </w:p>
    <w:p w14:paraId="2B76F7A3" w14:textId="12DFD428" w:rsidR="00E17944" w:rsidRPr="00DA0228" w:rsidRDefault="00E17944" w:rsidP="00691E7B">
      <w:pPr>
        <w:pStyle w:val="ListParagraph"/>
        <w:numPr>
          <w:ilvl w:val="0"/>
          <w:numId w:val="10"/>
        </w:numPr>
        <w:tabs>
          <w:tab w:val="left" w:pos="0"/>
          <w:tab w:val="left" w:pos="360"/>
        </w:tabs>
        <w:suppressAutoHyphens/>
        <w:spacing w:after="0" w:line="360" w:lineRule="auto"/>
        <w:ind w:left="567" w:hanging="567"/>
        <w:jc w:val="both"/>
        <w:rPr>
          <w:rFonts w:ascii="Arial" w:hAnsi="Arial" w:cs="Arial"/>
          <w:bCs/>
          <w:i/>
          <w:iCs/>
          <w:color w:val="C45911" w:themeColor="accent2" w:themeShade="BF"/>
        </w:rPr>
      </w:pPr>
      <w:r w:rsidRPr="00DA0228">
        <w:rPr>
          <w:rFonts w:ascii="Arial" w:hAnsi="Arial" w:cs="Arial"/>
          <w:bCs/>
          <w:i/>
          <w:iCs/>
          <w:color w:val="C45911" w:themeColor="accent2" w:themeShade="BF"/>
        </w:rPr>
        <w:t>Eco-Accountability Gap: Klaim Keberlanjutan dengan Realitas Ekologis</w:t>
      </w:r>
    </w:p>
    <w:p w14:paraId="13CFD041" w14:textId="28B4B9DD" w:rsidR="00E17944" w:rsidRPr="00E17944" w:rsidRDefault="00E17944" w:rsidP="00691E7B">
      <w:pPr>
        <w:pStyle w:val="BodyText"/>
        <w:spacing w:before="1" w:line="360" w:lineRule="auto"/>
        <w:ind w:left="0" w:right="49"/>
        <w:rPr>
          <w:rFonts w:ascii="Adobe Garamond Pro" w:hAnsi="Adobe Garamond Pro"/>
          <w:sz w:val="22"/>
          <w:szCs w:val="22"/>
        </w:rPr>
      </w:pPr>
      <w:bookmarkStart w:id="22" w:name="_Hlk217647949"/>
      <w:r w:rsidRPr="00E17944">
        <w:rPr>
          <w:rFonts w:ascii="Adobe Garamond Pro" w:hAnsi="Adobe Garamond Pro"/>
          <w:sz w:val="22"/>
          <w:szCs w:val="22"/>
        </w:rPr>
        <w:t xml:space="preserve">Beberapa perusahaan pada industri kelapa sawit telah menunjukkan komitmen dan konsistensi mereka mengenai keberlanjutan, dengan mempublikasikan seluruh informasi dalam laporan keberlanjutan setiap </w:t>
      </w:r>
      <w:r w:rsidRPr="00E17944">
        <w:rPr>
          <w:rFonts w:ascii="Adobe Garamond Pro" w:hAnsi="Adobe Garamond Pro"/>
          <w:sz w:val="22"/>
          <w:szCs w:val="22"/>
        </w:rPr>
        <w:lastRenderedPageBreak/>
        <w:t xml:space="preserve">tahun. Tetapi beberapa literatur menunjukkan terdapat kesenjangan antara klaim pelaporan dan kondisi ekologis di lapangan. </w:t>
      </w:r>
      <w:r w:rsidRPr="00E17944">
        <w:rPr>
          <w:rFonts w:ascii="Adobe Garamond Pro" w:hAnsi="Adobe Garamond Pro"/>
          <w:sz w:val="22"/>
          <w:szCs w:val="22"/>
        </w:rPr>
        <w:fldChar w:fldCharType="begin" w:fldLock="1"/>
      </w:r>
      <w:r w:rsidRPr="00E17944">
        <w:rPr>
          <w:rFonts w:ascii="Adobe Garamond Pro" w:hAnsi="Adobe Garamond Pro"/>
          <w:sz w:val="22"/>
          <w:szCs w:val="22"/>
        </w:rPr>
        <w:instrText>ADDIN CSL_CITATION {"citationItems":[{"id":"ITEM-1","itemData":{"author":[{"dropping-particle":"","family":"Simnett","given":"Roger","non-dropping-particle":"","parse-names":false,"suffix":""},{"dropping-particle":"","family":"Vanstraelen","given":"Ann","non-dropping-particle":"","parse-names":false,"suffix":""},{"dropping-particle":"","family":"Chua","given":"Wai Fong","non-dropping-particle":"","parse-names":false,"suffix":""}],"id":"ITEM-1","issue":"3","issued":{"date-parts":[["2009"]]},"page":"937-967","title":"Assurance on Sustainability Reports : An International Comparison","type":"article-journal","volume":"84"},"uris":["http://www.mendeley.com/documents/?uuid=74c547e1-e6d5-4508-ad39-b58650df0727"]}],"mendeley":{"formattedCitation":"(Simnett et al., 2009)","manualFormatting":"Simnett et al. (2009)","plainTextFormattedCitation":"(Simnett et al., 2009)","previouslyFormattedCitation":"(Simnett et al., 2009)"},"properties":{"noteIndex":0},"schema":"https://github.com/citation-style-language/schema/raw/master/csl-citation.json"}</w:instrText>
      </w:r>
      <w:r w:rsidRPr="00E17944">
        <w:rPr>
          <w:rFonts w:ascii="Adobe Garamond Pro" w:hAnsi="Adobe Garamond Pro"/>
          <w:sz w:val="22"/>
          <w:szCs w:val="22"/>
        </w:rPr>
        <w:fldChar w:fldCharType="separate"/>
      </w:r>
      <w:r w:rsidRPr="00E17944">
        <w:rPr>
          <w:rFonts w:ascii="Adobe Garamond Pro" w:hAnsi="Adobe Garamond Pro"/>
          <w:noProof/>
          <w:sz w:val="22"/>
          <w:szCs w:val="22"/>
        </w:rPr>
        <w:t>Simnett et al. (2009)</w:t>
      </w:r>
      <w:r w:rsidRPr="00E17944">
        <w:rPr>
          <w:rFonts w:ascii="Adobe Garamond Pro" w:hAnsi="Adobe Garamond Pro"/>
          <w:sz w:val="22"/>
          <w:szCs w:val="22"/>
        </w:rPr>
        <w:fldChar w:fldCharType="end"/>
      </w:r>
      <w:r w:rsidRPr="00E17944">
        <w:rPr>
          <w:rFonts w:ascii="Adobe Garamond Pro" w:hAnsi="Adobe Garamond Pro"/>
          <w:sz w:val="22"/>
          <w:szCs w:val="22"/>
        </w:rPr>
        <w:t xml:space="preserve"> menunjukkan bahwa assurance terhadap laporan keberlanjutan umumnya berfokus pada dokumentasi administratif, bukan verifikasi dampak ekologis berbasis data sains. Hal in memperkuat konsep eco-accountability gap, yakni klaim keberlanjutan tidak berbanding lurus dengan kondisi lingkungan sebenarnya.</w:t>
      </w:r>
    </w:p>
    <w:p w14:paraId="503E3C41" w14:textId="384B2AF4" w:rsidR="00E17944" w:rsidRDefault="00691E7B" w:rsidP="00691E7B">
      <w:pPr>
        <w:pStyle w:val="BodyText"/>
        <w:spacing w:before="1" w:line="360" w:lineRule="auto"/>
        <w:ind w:left="0" w:right="49"/>
        <w:rPr>
          <w:rFonts w:ascii="Adobe Garamond Pro" w:hAnsi="Adobe Garamond Pro"/>
          <w:sz w:val="22"/>
          <w:szCs w:val="22"/>
        </w:rPr>
      </w:pPr>
      <w:r>
        <w:rPr>
          <w:rFonts w:ascii="Adobe Garamond Pro" w:hAnsi="Adobe Garamond Pro"/>
          <w:sz w:val="22"/>
          <w:szCs w:val="22"/>
        </w:rPr>
        <w:tab/>
      </w:r>
      <w:r w:rsidR="00E17944" w:rsidRPr="00E17944">
        <w:rPr>
          <w:rFonts w:ascii="Adobe Garamond Pro" w:hAnsi="Adobe Garamond Pro"/>
          <w:sz w:val="22"/>
          <w:szCs w:val="22"/>
        </w:rPr>
        <w:fldChar w:fldCharType="begin" w:fldLock="1"/>
      </w:r>
      <w:r w:rsidR="00E17944" w:rsidRPr="00E17944">
        <w:rPr>
          <w:rFonts w:ascii="Adobe Garamond Pro" w:hAnsi="Adobe Garamond Pro"/>
          <w:sz w:val="22"/>
          <w:szCs w:val="22"/>
        </w:rPr>
        <w:instrText>ADDIN CSL_CITATION {"citationItems":[{"id":"ITEM-1","itemData":{"ISSN":"2045-2322","author":[{"dropping-particle":"","family":"Gaveau","given":"David L A","non-dropping-particle":"","parse-names":false,"suffix":""},{"dropping-particle":"","family":"Sheil","given":"Douglas","non-dropping-particle":"","parse-names":false,"suffix":""},{"dropping-particle":"","family":"Husnayaen","given":"","non-dropping-particle":"","parse-names":false,"suffix":""},{"dropping-particle":"","family":"Salim","given":"Mohammad A","non-dropping-particle":"","parse-names":false,"suffix":""},{"dropping-particle":"","family":"Arjasakusuma","given":"Sanjiwana","non-dropping-particle":"","parse-names":false,"suffix":""},{"dropping-particle":"","family":"Ancrenaz","given":"Marc","non-dropping-particle":"","parse-names":false,"suffix":""},{"dropping-particle":"","family":"Pacheco","given":"Pablo","non-dropping-particle":"","parse-names":false,"suffix":""},{"dropping-particle":"","family":"Meijaard","given":"Erik","non-dropping-particle":"","parse-names":false,"suffix":""}],"container-title":"Scientific reports","id":"ITEM-1","issue":"1","issued":{"date-parts":[["2016"]]},"page":"32017","publisher":"Nature Publishing Group UK London","title":"Rapid conversions and avoided deforestation: examining four decades of industrial plantation expansion in Borneo","type":"article-journal","volume":"6"},"uris":["http://www.mendeley.com/documents/?uuid=af08cef1-42cc-46b2-8766-4ede14933c1e"]}],"mendeley":{"formattedCitation":"(Gaveau et al., 2016)","manualFormatting":"Gaveau et al. (2016)","plainTextFormattedCitation":"(Gaveau et al., 2016)","previouslyFormattedCitation":"(Gaveau et al., 2016)"},"properties":{"noteIndex":0},"schema":"https://github.com/citation-style-language/schema/raw/master/csl-citation.json"}</w:instrText>
      </w:r>
      <w:r w:rsidR="00E17944" w:rsidRPr="00E17944">
        <w:rPr>
          <w:rFonts w:ascii="Adobe Garamond Pro" w:hAnsi="Adobe Garamond Pro"/>
          <w:sz w:val="22"/>
          <w:szCs w:val="22"/>
        </w:rPr>
        <w:fldChar w:fldCharType="separate"/>
      </w:r>
      <w:r w:rsidR="00E17944" w:rsidRPr="00E17944">
        <w:rPr>
          <w:rFonts w:ascii="Adobe Garamond Pro" w:hAnsi="Adobe Garamond Pro"/>
          <w:noProof/>
          <w:sz w:val="22"/>
          <w:szCs w:val="22"/>
        </w:rPr>
        <w:t>Gaveau et al. (2016)</w:t>
      </w:r>
      <w:r w:rsidR="00E17944" w:rsidRPr="00E17944">
        <w:rPr>
          <w:rFonts w:ascii="Adobe Garamond Pro" w:hAnsi="Adobe Garamond Pro"/>
          <w:sz w:val="22"/>
          <w:szCs w:val="22"/>
        </w:rPr>
        <w:fldChar w:fldCharType="end"/>
      </w:r>
      <w:r w:rsidR="00E17944" w:rsidRPr="00E17944">
        <w:rPr>
          <w:rFonts w:ascii="Adobe Garamond Pro" w:hAnsi="Adobe Garamond Pro"/>
          <w:sz w:val="22"/>
          <w:szCs w:val="22"/>
        </w:rPr>
        <w:t xml:space="preserve"> dan </w:t>
      </w:r>
      <w:r w:rsidR="00E17944" w:rsidRPr="00E17944">
        <w:rPr>
          <w:rFonts w:ascii="Adobe Garamond Pro" w:hAnsi="Adobe Garamond Pro"/>
          <w:sz w:val="22"/>
          <w:szCs w:val="22"/>
        </w:rPr>
        <w:fldChar w:fldCharType="begin" w:fldLock="1"/>
      </w:r>
      <w:r w:rsidR="00E17944" w:rsidRPr="00E17944">
        <w:rPr>
          <w:rFonts w:ascii="Adobe Garamond Pro" w:hAnsi="Adobe Garamond Pro"/>
          <w:sz w:val="22"/>
          <w:szCs w:val="22"/>
        </w:rPr>
        <w:instrText>ADDIN CSL_CITATION {"citationItems":[{"id":"ITEM-1","itemData":{"author":[{"dropping-particle":"","family":"Meijaard","given":"E","non-dropping-particle":"","parse-names":false,"suffix":""},{"dropping-particle":"","family":"Garcia-Ulloa","given":"J","non-dropping-particle":"","parse-names":false,"suffix":""},{"dropping-particle":"","family":"Sheil","given":"D","non-dropping-particle":"","parse-names":false,"suffix":""},{"dropping-particle":"","family":"Carlson","given":"K","non-dropping-particle":"","parse-names":false,"suffix":""},{"dropping-particle":"","family":"Wich","given":"S A","non-dropping-particle":"","parse-names":false,"suffix":""},{"dropping-particle":"","family":"Juffe-Bignoli","given":"D","non-dropping-particle":"","parse-names":false,"suffix":""}],"container-title":"IUCN Oil Palm Task Force, Gland, Switzerland","id":"ITEM-1","issued":{"date-parts":[["2018"]]},"title":"Oil Palm and Biodiversity–A Situation Analysis","type":"article-journal"},"uris":["http://www.mendeley.com/documents/?uuid=72a4cb59-9562-4a6f-b8b7-aaea84818528"]}],"mendeley":{"formattedCitation":"(Meijaard et al., 2018)","manualFormatting":"Meijaard et al. (2018)","plainTextFormattedCitation":"(Meijaard et al., 2018)","previouslyFormattedCitation":"(Meijaard et al., 2018)"},"properties":{"noteIndex":0},"schema":"https://github.com/citation-style-language/schema/raw/master/csl-citation.json"}</w:instrText>
      </w:r>
      <w:r w:rsidR="00E17944" w:rsidRPr="00E17944">
        <w:rPr>
          <w:rFonts w:ascii="Adobe Garamond Pro" w:hAnsi="Adobe Garamond Pro"/>
          <w:sz w:val="22"/>
          <w:szCs w:val="22"/>
        </w:rPr>
        <w:fldChar w:fldCharType="separate"/>
      </w:r>
      <w:r w:rsidR="00E17944" w:rsidRPr="00E17944">
        <w:rPr>
          <w:rFonts w:ascii="Adobe Garamond Pro" w:hAnsi="Adobe Garamond Pro"/>
          <w:noProof/>
          <w:sz w:val="22"/>
          <w:szCs w:val="22"/>
        </w:rPr>
        <w:t>Meijaard et al. (2018)</w:t>
      </w:r>
      <w:r w:rsidR="00E17944" w:rsidRPr="00E17944">
        <w:rPr>
          <w:rFonts w:ascii="Adobe Garamond Pro" w:hAnsi="Adobe Garamond Pro"/>
          <w:sz w:val="22"/>
          <w:szCs w:val="22"/>
        </w:rPr>
        <w:fldChar w:fldCharType="end"/>
      </w:r>
      <w:r w:rsidR="00E17944" w:rsidRPr="00E17944">
        <w:rPr>
          <w:rFonts w:ascii="Adobe Garamond Pro" w:hAnsi="Adobe Garamond Pro"/>
          <w:sz w:val="22"/>
          <w:szCs w:val="22"/>
        </w:rPr>
        <w:t xml:space="preserve"> menambahkan bahwa data satelit sering menunjukkan deforestasi baru pada wilayah perusahaan yang mengklaim “tidak ada pembukaan hutan kelapa sawit baru”. Hal ini membuktikan bahwa informasi dan klaim perusahaan mengenai deforestasi, tidak dapat diandalkan. </w:t>
      </w:r>
      <w:r w:rsidR="00E17944" w:rsidRPr="00E17944">
        <w:rPr>
          <w:rFonts w:ascii="Adobe Garamond Pro" w:hAnsi="Adobe Garamond Pro"/>
          <w:sz w:val="22"/>
          <w:szCs w:val="22"/>
        </w:rPr>
        <w:fldChar w:fldCharType="begin" w:fldLock="1"/>
      </w:r>
      <w:r w:rsidR="00E17944" w:rsidRPr="00E17944">
        <w:rPr>
          <w:rFonts w:ascii="Adobe Garamond Pro" w:hAnsi="Adobe Garamond Pro"/>
          <w:sz w:val="22"/>
          <w:szCs w:val="22"/>
        </w:rPr>
        <w:instrText>ADDIN CSL_CITATION {"citationItems":[{"id":"ITEM-1","itemData":{"author":[{"dropping-particle":"","family":"Ermgassen","given":"Erasmus K H J","non-dropping-particle":"","parse-names":false,"suffix":""},{"dropping-particle":"","family":"Lima","given":"Mairon G Bastos","non-dropping-particle":"","parse-names":false,"suffix":""},{"dropping-particle":"","family":"Bellfield","given":"Helen","non-dropping-particle":"","parse-names":false,"suffix":""},{"dropping-particle":"","family":"Dontenville","given":"Adeline","non-dropping-particle":"","parse-names":false,"suffix":""},{"dropping-particle":"","family":"Gardner","given":"Toby","non-dropping-particle":"","parse-names":false,"suffix":""},{"dropping-particle":"","family":"Godar","given":"Javier","non-dropping-particle":"","parse-names":false,"suffix":""},{"dropping-particle":"","family":"Heilmayr","given":"Robert","non-dropping-particle":"","parse-names":false,"suffix":""},{"dropping-particle":"","family":"Indenbaum","given":"Rosa","non-dropping-particle":"","parse-names":false,"suffix":""},{"dropping-particle":"","family":"Reis","given":"Tiago N P","non-dropping-particle":"","parse-names":false,"suffix":""},{"dropping-particle":"","family":"Ribeiro","given":"Vivian","non-dropping-particle":"","parse-names":false,"suffix":""},{"dropping-particle":"","family":"Abu","given":"Itohan-osa","non-dropping-particle":"","parse-names":false,"suffix":""},{"dropping-particle":"","family":"Szantoi","given":"Zoltan","non-dropping-particle":"","parse-names":false,"suffix":""},{"dropping-particle":"","family":"Meyfroidt","given":"Patrick","non-dropping-particle":"","parse-names":false,"suffix":""}],"id":"ITEM-1","issue":"April","issued":{"date-parts":[["2022"]]},"page":"1-15","title":"Addressing indirect sourcing in zero deforestation commodity supply chains","type":"article-journal","volume":"3132"},"uris":["http://www.mendeley.com/documents/?uuid=853bf18c-54a5-448a-bfc1-a9c34548e009"]}],"mendeley":{"formattedCitation":"(Ermgassen et al., 2022)","manualFormatting":"Ermgassen et al. (2022)","plainTextFormattedCitation":"(Ermgassen et al., 2022)","previouslyFormattedCitation":"(Ermgassen et al., 2022)"},"properties":{"noteIndex":0},"schema":"https://github.com/citation-style-language/schema/raw/master/csl-citation.json"}</w:instrText>
      </w:r>
      <w:r w:rsidR="00E17944" w:rsidRPr="00E17944">
        <w:rPr>
          <w:rFonts w:ascii="Adobe Garamond Pro" w:hAnsi="Adobe Garamond Pro"/>
          <w:sz w:val="22"/>
          <w:szCs w:val="22"/>
        </w:rPr>
        <w:fldChar w:fldCharType="separate"/>
      </w:r>
      <w:r w:rsidR="00E17944" w:rsidRPr="00E17944">
        <w:rPr>
          <w:rFonts w:ascii="Adobe Garamond Pro" w:hAnsi="Adobe Garamond Pro"/>
          <w:noProof/>
          <w:sz w:val="22"/>
          <w:szCs w:val="22"/>
        </w:rPr>
        <w:t>Ermgassen et al. (2022)</w:t>
      </w:r>
      <w:r w:rsidR="00E17944" w:rsidRPr="00E17944">
        <w:rPr>
          <w:rFonts w:ascii="Adobe Garamond Pro" w:hAnsi="Adobe Garamond Pro"/>
          <w:sz w:val="22"/>
          <w:szCs w:val="22"/>
        </w:rPr>
        <w:fldChar w:fldCharType="end"/>
      </w:r>
      <w:r w:rsidR="00E17944" w:rsidRPr="00E17944">
        <w:rPr>
          <w:rFonts w:ascii="Adobe Garamond Pro" w:hAnsi="Adobe Garamond Pro"/>
          <w:sz w:val="22"/>
          <w:szCs w:val="22"/>
        </w:rPr>
        <w:t xml:space="preserve"> juga membuktikan bahwa perusahaan dapat memenuhi standar pelaporan, tetapi tetap terkait dengan deforestasi melalui pemasok kecil yang tidak tunduk pada standar lingkungan dan kebijakan yang berlaku. Oleh karena itu, dapat dikatakan bahwa audit keberlanjutan pada saat ini cenderung bersifat kepatuhan (compliance-based) dan belum mampu mengatasi kesenjangan data ekologis.</w:t>
      </w:r>
      <w:bookmarkEnd w:id="22"/>
    </w:p>
    <w:p w14:paraId="359AD61D" w14:textId="72179F13" w:rsidR="00E17944" w:rsidRPr="00CB2623" w:rsidRDefault="00E17944" w:rsidP="00691E7B">
      <w:pPr>
        <w:pStyle w:val="ListParagraph"/>
        <w:numPr>
          <w:ilvl w:val="0"/>
          <w:numId w:val="2"/>
        </w:numPr>
        <w:tabs>
          <w:tab w:val="left" w:pos="0"/>
          <w:tab w:val="left" w:pos="360"/>
        </w:tabs>
        <w:suppressAutoHyphens/>
        <w:spacing w:after="0" w:line="360" w:lineRule="auto"/>
        <w:ind w:left="567" w:hanging="567"/>
        <w:jc w:val="both"/>
        <w:rPr>
          <w:rFonts w:ascii="Arial" w:hAnsi="Arial" w:cs="Arial"/>
          <w:b/>
          <w:color w:val="2E74B5" w:themeColor="accent1" w:themeShade="BF"/>
        </w:rPr>
      </w:pPr>
      <w:r>
        <w:rPr>
          <w:rFonts w:ascii="Arial" w:hAnsi="Arial" w:cs="Arial"/>
          <w:b/>
          <w:color w:val="0070C0"/>
        </w:rPr>
        <w:t>K</w:t>
      </w:r>
      <w:r w:rsidR="00EC0A0F">
        <w:rPr>
          <w:rFonts w:ascii="Arial" w:hAnsi="Arial" w:cs="Arial"/>
          <w:b/>
          <w:color w:val="0070C0"/>
        </w:rPr>
        <w:t>ESIMPULAN DAN SARAN</w:t>
      </w:r>
    </w:p>
    <w:p w14:paraId="241B8B10" w14:textId="6BE53003" w:rsidR="00E17944" w:rsidRPr="00E17944" w:rsidRDefault="00E17944" w:rsidP="00691E7B">
      <w:pPr>
        <w:pStyle w:val="BodyText"/>
        <w:spacing w:before="1" w:line="360" w:lineRule="auto"/>
        <w:ind w:left="0" w:right="49"/>
        <w:rPr>
          <w:rFonts w:ascii="Adobe Garamond Pro" w:hAnsi="Adobe Garamond Pro"/>
          <w:sz w:val="22"/>
          <w:szCs w:val="22"/>
          <w:lang w:val="en-US"/>
        </w:rPr>
      </w:pPr>
      <w:bookmarkStart w:id="23" w:name="_Hlk217436456"/>
      <w:r w:rsidRPr="00E17944">
        <w:rPr>
          <w:rFonts w:ascii="Adobe Garamond Pro" w:hAnsi="Adobe Garamond Pro"/>
          <w:sz w:val="22"/>
          <w:szCs w:val="22"/>
          <w:lang w:val="en-US"/>
        </w:rPr>
        <w:t>Komitmen nol-deforestasi yang efektif memerlukan pemantauan berbasis ilmiah, penerapan standar audit lingkungan yang setara dengan EUDR 2023, dan peraturan yang mewajibkan transparansi dalam rantai pasokan. Secara akademis, SLR ini memberikan kontribusi teoretis dengan mengintegrasikan perspektif kelembagaan, tekanan pemangku kepentingan, dan modernisasi ekologi untuk menjelaskan mengapa keberlanjutan dalam industri minyak sawit seringkali bersifat reaktif alih-alih transformatif. Penelitian di masa mendatang harus berfokus pada pengembangan metodologi audit lingkungan yang memanfaatkan teknologi dan pemantauan jarak jauh, menilai integrasi NDPE ke dalam praktik tata kelola perusahaan, dan studi empiris yang menyelidiki sejauh mana pelaporan keberlanjutan mencerminkan dampak ekologis yang terukur. Dengan demikian, studi ini memberikan landasan konseptual dan empiris yang kuat untuk memperkuat sistem pelaporan keberlanjutan, meningkatkan mekanisme audit lingkungan, dan memastikan bahwa klaim keberlanjutan dari perusahaan minyak sawit benar-benar berkontribusi pada perlindungan hutan dan keadilan ekologi</w:t>
      </w:r>
      <w:bookmarkEnd w:id="23"/>
      <w:r w:rsidRPr="00E17944">
        <w:rPr>
          <w:rFonts w:ascii="Adobe Garamond Pro" w:hAnsi="Adobe Garamond Pro"/>
          <w:sz w:val="22"/>
          <w:szCs w:val="22"/>
          <w:lang w:val="en-US"/>
        </w:rPr>
        <w:t xml:space="preserve">. </w:t>
      </w:r>
    </w:p>
    <w:p w14:paraId="26B63A46" w14:textId="69FB2865" w:rsidR="00F74CE5" w:rsidRDefault="00E17944" w:rsidP="00691E7B">
      <w:pPr>
        <w:pStyle w:val="BodyText"/>
        <w:spacing w:before="1" w:line="360" w:lineRule="auto"/>
        <w:ind w:left="0" w:right="49" w:firstLine="360"/>
        <w:rPr>
          <w:rFonts w:ascii="Adobe Garamond Pro" w:hAnsi="Adobe Garamond Pro"/>
          <w:sz w:val="22"/>
          <w:szCs w:val="22"/>
          <w:lang w:val="en-US"/>
        </w:rPr>
      </w:pPr>
      <w:r w:rsidRPr="00E17944">
        <w:rPr>
          <w:rFonts w:ascii="Adobe Garamond Pro" w:hAnsi="Adobe Garamond Pro"/>
          <w:sz w:val="22"/>
          <w:szCs w:val="22"/>
          <w:lang w:val="en-US"/>
        </w:rPr>
        <w:t xml:space="preserve">Berdasarkan temuan dalam studi literatur ini, sangat disarankan agar peneliti selanjutnya dapat mengatasi keterbatasan akses data dengan mengintegrasikan analisis konten laporan keberlanjutan kualitatif dengan verifikasi empiris berdasarkan data satelit waktu nyata, untuk meminimalkan risiko bias informasi dan praktik greenwashing di industri kelapa sawit. Mengingat lonjakan publikasi pada periode 2021–2025 didominasi oleh isu transparansi digital, peneliti perlu memperluas cakupan geografis penelitian ke wilayah produsen berkembang di luar Asia Tenggara untuk mendapatkan perspektif global yang lebih inklusif dan melakukan studi longitudinal untuk memantau efektivitas jangka panjang implementasi peraturan EUDR dan standar ESG terbaru. Bagi praktisi dan regulator, penting untuk mulai menyinkronkan standar audit lingkungan independen dengan indikator biofisik yang dapat diverifikasi secara publik, sehingga kesenjangan antara narasi administratif perusahaan dan realitas ekologis di lapangan dapat dijembatani </w:t>
      </w:r>
      <w:r w:rsidRPr="00E17944">
        <w:rPr>
          <w:rFonts w:ascii="Adobe Garamond Pro" w:hAnsi="Adobe Garamond Pro"/>
          <w:sz w:val="22"/>
          <w:szCs w:val="22"/>
          <w:lang w:val="en-US"/>
        </w:rPr>
        <w:lastRenderedPageBreak/>
        <w:t>melalui mekanisme pelaporan yang tidak hanya akuntabel secara manajerial tetapi juga valid secara ilmiah.</w:t>
      </w:r>
    </w:p>
    <w:p w14:paraId="496F2EA7" w14:textId="77777777" w:rsidR="00595934" w:rsidRDefault="00595934" w:rsidP="00691E7B">
      <w:pPr>
        <w:pStyle w:val="BodyText"/>
        <w:spacing w:before="1" w:line="360" w:lineRule="auto"/>
        <w:ind w:left="0" w:right="49"/>
        <w:rPr>
          <w:rFonts w:ascii="Adobe Garamond Pro" w:hAnsi="Adobe Garamond Pro"/>
          <w:sz w:val="22"/>
          <w:szCs w:val="22"/>
          <w:lang w:val="en-US"/>
        </w:rPr>
      </w:pPr>
    </w:p>
    <w:p w14:paraId="6913458A" w14:textId="4065D7A5" w:rsidR="00595934" w:rsidRPr="00DC3EFC" w:rsidRDefault="00595934" w:rsidP="00691E7B">
      <w:pPr>
        <w:tabs>
          <w:tab w:val="left" w:pos="360"/>
        </w:tabs>
        <w:spacing w:after="0" w:line="360" w:lineRule="auto"/>
        <w:ind w:left="360" w:hanging="360"/>
        <w:jc w:val="both"/>
        <w:rPr>
          <w:rFonts w:ascii="Arial" w:hAnsi="Arial" w:cs="Arial"/>
          <w:b/>
          <w:color w:val="2E74B5" w:themeColor="accent1" w:themeShade="BF"/>
        </w:rPr>
      </w:pPr>
      <w:r w:rsidRPr="00DC3EFC">
        <w:rPr>
          <w:rFonts w:ascii="Arial" w:hAnsi="Arial" w:cs="Arial"/>
          <w:b/>
          <w:color w:val="2E74B5" w:themeColor="accent1" w:themeShade="BF"/>
        </w:rPr>
        <w:t xml:space="preserve">ACKNOWLEDGEMENT </w:t>
      </w:r>
    </w:p>
    <w:p w14:paraId="235FAD94" w14:textId="77777777" w:rsidR="00595934" w:rsidRPr="00DC099B" w:rsidRDefault="00595934" w:rsidP="00691E7B">
      <w:pPr>
        <w:tabs>
          <w:tab w:val="left" w:pos="360"/>
          <w:tab w:val="left" w:pos="993"/>
        </w:tabs>
        <w:spacing w:line="360" w:lineRule="auto"/>
        <w:jc w:val="both"/>
        <w:rPr>
          <w:rFonts w:ascii="Adobe Garamond Pro" w:hAnsi="Adobe Garamond Pro" w:cstheme="minorHAnsi"/>
          <w:b/>
          <w:bCs/>
        </w:rPr>
      </w:pPr>
      <w:r w:rsidRPr="00DC099B">
        <w:rPr>
          <w:rFonts w:ascii="Adobe Garamond Pro" w:hAnsi="Adobe Garamond Pro" w:cstheme="minorHAnsi"/>
          <w:lang w:val="id-ID"/>
        </w:rPr>
        <w:t xml:space="preserve">The author wants to thank Mr. </w:t>
      </w:r>
      <w:r w:rsidRPr="00DC099B">
        <w:rPr>
          <w:rFonts w:ascii="Adobe Garamond Pro" w:hAnsi="Adobe Garamond Pro" w:cstheme="minorHAnsi"/>
        </w:rPr>
        <w:t xml:space="preserve">Mazmur Pardede, S.E. MSM. Ak. CA </w:t>
      </w:r>
      <w:r w:rsidRPr="00DC099B">
        <w:rPr>
          <w:rFonts w:ascii="Adobe Garamond Pro" w:hAnsi="Adobe Garamond Pro" w:cstheme="minorHAnsi"/>
          <w:lang w:val="id-ID"/>
        </w:rPr>
        <w:t>for his helpful advice, useful comments, and ongoing support during the whole process of writing this systematic literature review. The author also thanks the Accounting Study Program at the Faculty of Economics and Business, Universitas Kristen Indonesia, for giving the needed academic tools and setting up a good research environment. Lastly, the author is grateful to everyone who helped improve this manuscript.</w:t>
      </w:r>
    </w:p>
    <w:p w14:paraId="2892D691" w14:textId="75BBCAF4" w:rsidR="00595934" w:rsidRPr="00DC3EFC" w:rsidRDefault="00595934" w:rsidP="00691E7B">
      <w:pPr>
        <w:tabs>
          <w:tab w:val="left" w:pos="360"/>
          <w:tab w:val="left" w:pos="993"/>
        </w:tabs>
        <w:spacing w:after="0" w:line="360" w:lineRule="auto"/>
        <w:jc w:val="both"/>
        <w:rPr>
          <w:rFonts w:cstheme="minorHAnsi"/>
          <w:b/>
          <w:bCs/>
          <w:color w:val="2E74B5" w:themeColor="accent1" w:themeShade="BF"/>
          <w:lang w:val="id-ID"/>
        </w:rPr>
      </w:pPr>
      <w:r w:rsidRPr="00DC3EFC">
        <w:rPr>
          <w:rFonts w:cstheme="minorHAnsi"/>
          <w:b/>
          <w:bCs/>
          <w:color w:val="2E74B5" w:themeColor="accent1" w:themeShade="BF"/>
          <w:lang w:val="id-ID"/>
        </w:rPr>
        <w:t xml:space="preserve">Declaration of AI and AI-assisted technologies in the writing process </w:t>
      </w:r>
    </w:p>
    <w:p w14:paraId="243E3D50" w14:textId="77777777" w:rsidR="00595934" w:rsidRPr="006D633A" w:rsidRDefault="00595934" w:rsidP="00691E7B">
      <w:pPr>
        <w:tabs>
          <w:tab w:val="left" w:pos="360"/>
          <w:tab w:val="left" w:pos="993"/>
        </w:tabs>
        <w:spacing w:after="0" w:line="360" w:lineRule="auto"/>
        <w:jc w:val="both"/>
        <w:rPr>
          <w:rFonts w:ascii="Adobe Garamond Pro" w:hAnsi="Adobe Garamond Pro" w:cstheme="minorHAnsi"/>
          <w:lang w:val="id-ID"/>
        </w:rPr>
      </w:pPr>
      <w:r w:rsidRPr="006D633A">
        <w:rPr>
          <w:rFonts w:ascii="Adobe Garamond Pro" w:hAnsi="Adobe Garamond Pro" w:cstheme="minorHAnsi"/>
          <w:lang w:val="id-ID"/>
        </w:rPr>
        <w:t xml:space="preserve">During the preparation of this work, the author(s) used </w:t>
      </w:r>
      <w:r w:rsidRPr="00595934">
        <w:rPr>
          <w:rFonts w:ascii="Adobe Garamond Pro" w:hAnsi="Adobe Garamond Pro" w:cstheme="minorHAnsi"/>
          <w:lang w:val="id-ID"/>
        </w:rPr>
        <w:t xml:space="preserve">Gemini </w:t>
      </w:r>
      <w:r>
        <w:rPr>
          <w:rFonts w:ascii="Adobe Garamond Pro" w:hAnsi="Adobe Garamond Pro" w:cstheme="minorHAnsi"/>
          <w:lang w:val="id-ID"/>
        </w:rPr>
        <w:t xml:space="preserve">and Scispace </w:t>
      </w:r>
      <w:r w:rsidRPr="006D633A">
        <w:rPr>
          <w:rFonts w:ascii="Adobe Garamond Pro" w:hAnsi="Adobe Garamond Pro" w:cstheme="minorHAnsi"/>
          <w:lang w:val="id-ID"/>
        </w:rPr>
        <w:t xml:space="preserve">in order to </w:t>
      </w:r>
      <w:r>
        <w:rPr>
          <w:rFonts w:ascii="Adobe Garamond Pro" w:hAnsi="Adobe Garamond Pro" w:cstheme="minorHAnsi"/>
          <w:lang w:val="id-ID"/>
        </w:rPr>
        <w:t>structure the systematic literature review, refine the academic language flow, and synthesize literature data</w:t>
      </w:r>
      <w:r w:rsidRPr="006D633A">
        <w:rPr>
          <w:rFonts w:ascii="Adobe Garamond Pro" w:hAnsi="Adobe Garamond Pro" w:cstheme="minorHAnsi"/>
          <w:lang w:val="id-ID"/>
        </w:rPr>
        <w:t>. After using this tool/service, the author(s) reviewed and edited the content as needed and take(s) full responsibility for the content of the publication.</w:t>
      </w:r>
    </w:p>
    <w:p w14:paraId="275AFFC7" w14:textId="77777777" w:rsidR="00595934" w:rsidRPr="00E17944" w:rsidRDefault="00595934" w:rsidP="00E17944">
      <w:pPr>
        <w:pStyle w:val="BodyText"/>
        <w:spacing w:before="1"/>
        <w:ind w:left="0" w:right="49"/>
        <w:rPr>
          <w:rFonts w:ascii="Adobe Garamond Pro" w:hAnsi="Adobe Garamond Pro"/>
          <w:sz w:val="22"/>
          <w:szCs w:val="22"/>
          <w:lang w:val="en-US"/>
        </w:rPr>
      </w:pPr>
    </w:p>
    <w:p w14:paraId="369A3C2B" w14:textId="77777777" w:rsidR="006D633A" w:rsidRDefault="006D633A">
      <w:pPr>
        <w:spacing w:after="0" w:line="240" w:lineRule="auto"/>
        <w:rPr>
          <w:rFonts w:cstheme="minorHAnsi"/>
          <w:b/>
          <w:lang w:val="id-ID"/>
        </w:rPr>
      </w:pPr>
    </w:p>
    <w:p w14:paraId="1313BA70" w14:textId="0131BB25" w:rsidR="00EC0A0F" w:rsidRPr="00914D83" w:rsidRDefault="00EC0A0F">
      <w:pPr>
        <w:tabs>
          <w:tab w:val="left" w:pos="993"/>
        </w:tabs>
        <w:spacing w:after="80" w:line="240" w:lineRule="auto"/>
        <w:rPr>
          <w:rFonts w:ascii="Adobe Garamond Pro" w:hAnsi="Adobe Garamond Pro" w:cstheme="minorHAnsi"/>
          <w:b/>
          <w:color w:val="0070C0"/>
          <w:lang w:val="id-ID"/>
        </w:rPr>
      </w:pPr>
      <w:r w:rsidRPr="00914D83">
        <w:rPr>
          <w:rFonts w:ascii="Adobe Garamond Pro" w:hAnsi="Adobe Garamond Pro" w:cstheme="minorHAnsi"/>
          <w:b/>
          <w:color w:val="0070C0"/>
          <w:lang w:val="id-ID"/>
        </w:rPr>
        <w:t>DAFTAR PUSTAKA</w:t>
      </w:r>
    </w:p>
    <w:p w14:paraId="649E6A9A" w14:textId="08DEBA97" w:rsidR="00A67F58" w:rsidRPr="006D633A" w:rsidRDefault="00825BC7">
      <w:pPr>
        <w:tabs>
          <w:tab w:val="left" w:pos="993"/>
        </w:tabs>
        <w:spacing w:after="80" w:line="240" w:lineRule="auto"/>
        <w:rPr>
          <w:rFonts w:ascii="Adobe Garamond Pro" w:hAnsi="Adobe Garamond Pro" w:cstheme="minorHAnsi"/>
          <w:b/>
          <w:lang w:val="id-ID"/>
        </w:rPr>
      </w:pPr>
      <w:r w:rsidRPr="006D633A">
        <w:rPr>
          <w:rFonts w:ascii="Adobe Garamond Pro" w:hAnsi="Adobe Garamond Pro" w:cstheme="minorHAnsi"/>
          <w:b/>
          <w:lang w:val="id-ID"/>
        </w:rPr>
        <w:t xml:space="preserve">Journal </w:t>
      </w:r>
    </w:p>
    <w:p w14:paraId="40EDD729"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kern w:val="2"/>
          <w14:ligatures w14:val="standardContextual"/>
        </w:rPr>
        <w:fldChar w:fldCharType="begin" w:fldLock="1"/>
      </w:r>
      <w:r w:rsidRPr="00EC0A0F">
        <w:rPr>
          <w:rFonts w:ascii="Adobe Garamond Pro" w:hAnsi="Adobe Garamond Pro" w:cs="Times New Roman"/>
        </w:rPr>
        <w:instrText xml:space="preserve">ADDIN Mendeley Bibliography CSL_BIBLIOGRAPHY </w:instrText>
      </w:r>
      <w:r w:rsidRPr="00EC0A0F">
        <w:rPr>
          <w:rFonts w:ascii="Adobe Garamond Pro" w:hAnsi="Adobe Garamond Pro" w:cs="Times New Roman"/>
          <w:kern w:val="2"/>
          <w14:ligatures w14:val="standardContextual"/>
        </w:rPr>
        <w:fldChar w:fldCharType="separate"/>
      </w:r>
      <w:r w:rsidRPr="00EC0A0F">
        <w:rPr>
          <w:rFonts w:ascii="Adobe Garamond Pro" w:hAnsi="Adobe Garamond Pro" w:cs="Times New Roman"/>
          <w:noProof/>
        </w:rPr>
        <w:t xml:space="preserve">Azhar, B., Saadun, N., Prideaux, M., &amp; Lindenmayer, D. B. (2017). The global palm oil sector must change to save biodiversity and improve food security in the tropics. </w:t>
      </w:r>
      <w:r w:rsidRPr="00EC0A0F">
        <w:rPr>
          <w:rFonts w:ascii="Adobe Garamond Pro" w:hAnsi="Adobe Garamond Pro" w:cs="Times New Roman"/>
          <w:i/>
          <w:iCs/>
          <w:noProof/>
        </w:rPr>
        <w:t>Journal of Environmental Management</w:t>
      </w:r>
      <w:r w:rsidRPr="00EC0A0F">
        <w:rPr>
          <w:rFonts w:ascii="Adobe Garamond Pro" w:hAnsi="Adobe Garamond Pro" w:cs="Times New Roman"/>
          <w:noProof/>
        </w:rPr>
        <w:t xml:space="preserve">, </w:t>
      </w:r>
      <w:r w:rsidRPr="00EC0A0F">
        <w:rPr>
          <w:rFonts w:ascii="Adobe Garamond Pro" w:hAnsi="Adobe Garamond Pro" w:cs="Times New Roman"/>
          <w:i/>
          <w:iCs/>
          <w:noProof/>
        </w:rPr>
        <w:t>203</w:t>
      </w:r>
      <w:r w:rsidRPr="00EC0A0F">
        <w:rPr>
          <w:rFonts w:ascii="Adobe Garamond Pro" w:hAnsi="Adobe Garamond Pro" w:cs="Times New Roman"/>
          <w:noProof/>
        </w:rPr>
        <w:t>, 457–466.</w:t>
      </w:r>
    </w:p>
    <w:p w14:paraId="7F6414EF"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Boell, S. K., &amp; Cecez-Kecmanovic, D. (2015). On being ‘systematic’in literature reviews in IS. </w:t>
      </w:r>
      <w:r w:rsidRPr="00EC0A0F">
        <w:rPr>
          <w:rFonts w:ascii="Adobe Garamond Pro" w:hAnsi="Adobe Garamond Pro" w:cs="Times New Roman"/>
          <w:i/>
          <w:iCs/>
          <w:noProof/>
        </w:rPr>
        <w:t>Journal of Information Technology</w:t>
      </w:r>
      <w:r w:rsidRPr="00EC0A0F">
        <w:rPr>
          <w:rFonts w:ascii="Adobe Garamond Pro" w:hAnsi="Adobe Garamond Pro" w:cs="Times New Roman"/>
          <w:noProof/>
        </w:rPr>
        <w:t xml:space="preserve">, </w:t>
      </w:r>
      <w:r w:rsidRPr="00EC0A0F">
        <w:rPr>
          <w:rFonts w:ascii="Adobe Garamond Pro" w:hAnsi="Adobe Garamond Pro" w:cs="Times New Roman"/>
          <w:i/>
          <w:iCs/>
          <w:noProof/>
        </w:rPr>
        <w:t>30</w:t>
      </w:r>
      <w:r w:rsidRPr="00EC0A0F">
        <w:rPr>
          <w:rFonts w:ascii="Adobe Garamond Pro" w:hAnsi="Adobe Garamond Pro" w:cs="Times New Roman"/>
          <w:noProof/>
        </w:rPr>
        <w:t>(2), 161–173.</w:t>
      </w:r>
    </w:p>
    <w:p w14:paraId="3D841B3F"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Bush, S. R., &amp; Spaargaren, G. (2024). Ecological modernization theory. In </w:t>
      </w:r>
      <w:r w:rsidRPr="00EC0A0F">
        <w:rPr>
          <w:rFonts w:ascii="Adobe Garamond Pro" w:hAnsi="Adobe Garamond Pro" w:cs="Times New Roman"/>
          <w:i/>
          <w:iCs/>
          <w:noProof/>
        </w:rPr>
        <w:t>Elgar Encyclopedia of Environmental Sociology</w:t>
      </w:r>
      <w:r w:rsidRPr="00EC0A0F">
        <w:rPr>
          <w:rFonts w:ascii="Adobe Garamond Pro" w:hAnsi="Adobe Garamond Pro" w:cs="Times New Roman"/>
          <w:noProof/>
        </w:rPr>
        <w:t xml:space="preserve"> (pp. 183–188). Edward Elgar Publishing.</w:t>
      </w:r>
    </w:p>
    <w:p w14:paraId="101614A2"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Carlson, K. M., Heilmayr, R., Gibbs, H. K., Noojipady, P., Douglas, D. N. B. G., Morton, C. H., G, N. F. W., J, G. D. P., Sumber, A. D., Alam, D., Hawaii, U., Hidup, B. I. L., Minnesota, U., Lingkungan, C. P. S., California, U., Barbara, S., Geografi, D. D., Wisconsin, U., Nelson, I., … Nasa, G. (2018). </w:t>
      </w:r>
      <w:r w:rsidRPr="00EC0A0F">
        <w:rPr>
          <w:rFonts w:ascii="Adobe Garamond Pro" w:hAnsi="Adobe Garamond Pro" w:cs="Times New Roman"/>
          <w:i/>
          <w:iCs/>
          <w:noProof/>
        </w:rPr>
        <w:t>Dampak sertifikasi keberlanjutan kelapa sawit terhadap deforestasi dan kebakaran di Indonesia</w:t>
      </w:r>
      <w:r w:rsidRPr="00EC0A0F">
        <w:rPr>
          <w:rFonts w:ascii="Adobe Garamond Pro" w:hAnsi="Adobe Garamond Pro" w:cs="Times New Roman"/>
          <w:noProof/>
        </w:rPr>
        <w:t xml:space="preserve">. </w:t>
      </w:r>
      <w:r w:rsidRPr="00EC0A0F">
        <w:rPr>
          <w:rFonts w:ascii="Adobe Garamond Pro" w:hAnsi="Adobe Garamond Pro" w:cs="Times New Roman"/>
          <w:i/>
          <w:iCs/>
          <w:noProof/>
        </w:rPr>
        <w:t>1</w:t>
      </w:r>
      <w:r w:rsidRPr="00EC0A0F">
        <w:rPr>
          <w:rFonts w:ascii="Adobe Garamond Pro" w:hAnsi="Adobe Garamond Pro" w:cs="Times New Roman"/>
          <w:noProof/>
        </w:rPr>
        <w:t>. https://doi.org/10.1073/pnas.1704728114</w:t>
      </w:r>
    </w:p>
    <w:p w14:paraId="3A224F09"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Chariri, A., &amp; Ghozali, I. (2007). Teori akuntansi. </w:t>
      </w:r>
      <w:r w:rsidRPr="00EC0A0F">
        <w:rPr>
          <w:rFonts w:ascii="Adobe Garamond Pro" w:hAnsi="Adobe Garamond Pro" w:cs="Times New Roman"/>
          <w:i/>
          <w:iCs/>
          <w:noProof/>
        </w:rPr>
        <w:t>Semarang: Badan Penerbit Universitas Diponegoro</w:t>
      </w:r>
      <w:r w:rsidRPr="00EC0A0F">
        <w:rPr>
          <w:rFonts w:ascii="Adobe Garamond Pro" w:hAnsi="Adobe Garamond Pro" w:cs="Times New Roman"/>
          <w:noProof/>
        </w:rPr>
        <w:t xml:space="preserve">, </w:t>
      </w:r>
      <w:r w:rsidRPr="00EC0A0F">
        <w:rPr>
          <w:rFonts w:ascii="Adobe Garamond Pro" w:hAnsi="Adobe Garamond Pro" w:cs="Times New Roman"/>
          <w:i/>
          <w:iCs/>
          <w:noProof/>
        </w:rPr>
        <w:t>409</w:t>
      </w:r>
      <w:r w:rsidRPr="00EC0A0F">
        <w:rPr>
          <w:rFonts w:ascii="Adobe Garamond Pro" w:hAnsi="Adobe Garamond Pro" w:cs="Times New Roman"/>
          <w:noProof/>
        </w:rPr>
        <w:t>.</w:t>
      </w:r>
    </w:p>
    <w:p w14:paraId="513EF159"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Donthu, N., Kumar, S., Mukherjee, D., Pandey, N., &amp; Lim, W. M. (2021). How to conduct a bibliometric analysis: An overview and guidelines. </w:t>
      </w:r>
      <w:r w:rsidRPr="00EC0A0F">
        <w:rPr>
          <w:rFonts w:ascii="Adobe Garamond Pro" w:hAnsi="Adobe Garamond Pro" w:cs="Times New Roman"/>
          <w:i/>
          <w:iCs/>
          <w:noProof/>
        </w:rPr>
        <w:t>Journal of Business Research</w:t>
      </w:r>
      <w:r w:rsidRPr="00EC0A0F">
        <w:rPr>
          <w:rFonts w:ascii="Adobe Garamond Pro" w:hAnsi="Adobe Garamond Pro" w:cs="Times New Roman"/>
          <w:noProof/>
        </w:rPr>
        <w:t xml:space="preserve">, </w:t>
      </w:r>
      <w:r w:rsidRPr="00EC0A0F">
        <w:rPr>
          <w:rFonts w:ascii="Adobe Garamond Pro" w:hAnsi="Adobe Garamond Pro" w:cs="Times New Roman"/>
          <w:i/>
          <w:iCs/>
          <w:noProof/>
        </w:rPr>
        <w:t>133</w:t>
      </w:r>
      <w:r w:rsidRPr="00EC0A0F">
        <w:rPr>
          <w:rFonts w:ascii="Adobe Garamond Pro" w:hAnsi="Adobe Garamond Pro" w:cs="Times New Roman"/>
          <w:noProof/>
        </w:rPr>
        <w:t>, 285–296.</w:t>
      </w:r>
    </w:p>
    <w:p w14:paraId="76BDBE71"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Ermgassen, E. K. H. J., Lima, M. G. B., Bellfield, H., Dontenville, A., Gardner, T., Godar, J., Heilmayr, R., Indenbaum, R., Reis, T. N. P., Ribeiro, V., Abu, I., Szantoi, Z., &amp; Meyfroidt, P. (2022). </w:t>
      </w:r>
      <w:r w:rsidRPr="00EC0A0F">
        <w:rPr>
          <w:rFonts w:ascii="Adobe Garamond Pro" w:hAnsi="Adobe Garamond Pro" w:cs="Times New Roman"/>
          <w:i/>
          <w:iCs/>
          <w:noProof/>
        </w:rPr>
        <w:t>Addressing indirect sourcing in zero deforestation commodity supply chains</w:t>
      </w:r>
      <w:r w:rsidRPr="00EC0A0F">
        <w:rPr>
          <w:rFonts w:ascii="Adobe Garamond Pro" w:hAnsi="Adobe Garamond Pro" w:cs="Times New Roman"/>
          <w:noProof/>
        </w:rPr>
        <w:t xml:space="preserve">. </w:t>
      </w:r>
      <w:r w:rsidRPr="00EC0A0F">
        <w:rPr>
          <w:rFonts w:ascii="Adobe Garamond Pro" w:hAnsi="Adobe Garamond Pro" w:cs="Times New Roman"/>
          <w:i/>
          <w:iCs/>
          <w:noProof/>
        </w:rPr>
        <w:t>3132</w:t>
      </w:r>
      <w:r w:rsidRPr="00EC0A0F">
        <w:rPr>
          <w:rFonts w:ascii="Adobe Garamond Pro" w:hAnsi="Adobe Garamond Pro" w:cs="Times New Roman"/>
          <w:noProof/>
        </w:rPr>
        <w:t>(April), 1–15.</w:t>
      </w:r>
    </w:p>
    <w:p w14:paraId="683FF075"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Fitzherbert, E. B., Struebig, M. J., Morel, A., Danielsen, F., Brühl, C. A., Donald, P. F., &amp; Phalan, B. (2008). How will oil palm expansion affect biodiversity? </w:t>
      </w:r>
      <w:r w:rsidRPr="00EC0A0F">
        <w:rPr>
          <w:rFonts w:ascii="Adobe Garamond Pro" w:hAnsi="Adobe Garamond Pro" w:cs="Times New Roman"/>
          <w:i/>
          <w:iCs/>
          <w:noProof/>
        </w:rPr>
        <w:t>Trends in Ecology &amp; Evolution</w:t>
      </w:r>
      <w:r w:rsidRPr="00EC0A0F">
        <w:rPr>
          <w:rFonts w:ascii="Adobe Garamond Pro" w:hAnsi="Adobe Garamond Pro" w:cs="Times New Roman"/>
          <w:noProof/>
        </w:rPr>
        <w:t xml:space="preserve">, </w:t>
      </w:r>
      <w:r w:rsidRPr="00EC0A0F">
        <w:rPr>
          <w:rFonts w:ascii="Adobe Garamond Pro" w:hAnsi="Adobe Garamond Pro" w:cs="Times New Roman"/>
          <w:i/>
          <w:iCs/>
          <w:noProof/>
        </w:rPr>
        <w:t>23</w:t>
      </w:r>
      <w:r w:rsidRPr="00EC0A0F">
        <w:rPr>
          <w:rFonts w:ascii="Adobe Garamond Pro" w:hAnsi="Adobe Garamond Pro" w:cs="Times New Roman"/>
          <w:noProof/>
        </w:rPr>
        <w:t>(10), 538–545.</w:t>
      </w:r>
    </w:p>
    <w:p w14:paraId="77F898A2"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Freeman, R. E., Harrison, J. S., Wicks, A. C., Parmar, B. L., &amp; De Colle, S. (2010). </w:t>
      </w:r>
      <w:r w:rsidRPr="00EC0A0F">
        <w:rPr>
          <w:rFonts w:ascii="Adobe Garamond Pro" w:hAnsi="Adobe Garamond Pro" w:cs="Times New Roman"/>
          <w:i/>
          <w:iCs/>
          <w:noProof/>
        </w:rPr>
        <w:t>Stakeholder Theory. The State of the Art. Cambridge University Press: Cambridge.</w:t>
      </w:r>
    </w:p>
    <w:p w14:paraId="170480C8"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Garrett, R. D., Levy, S., Carlson, K. M., Gardner, T. A., Godar, J., Clapp, J., Dauvergne, P., Heilmayr, R., De Waroux, Y. L. P., &amp; Ayre, B. (2019). Criteria for effective zero-deforestation commitments. </w:t>
      </w:r>
      <w:r w:rsidRPr="00EC0A0F">
        <w:rPr>
          <w:rFonts w:ascii="Adobe Garamond Pro" w:hAnsi="Adobe Garamond Pro" w:cs="Times New Roman"/>
          <w:i/>
          <w:iCs/>
          <w:noProof/>
        </w:rPr>
        <w:t>Global Environmental Change</w:t>
      </w:r>
      <w:r w:rsidRPr="00EC0A0F">
        <w:rPr>
          <w:rFonts w:ascii="Adobe Garamond Pro" w:hAnsi="Adobe Garamond Pro" w:cs="Times New Roman"/>
          <w:noProof/>
        </w:rPr>
        <w:t xml:space="preserve">, </w:t>
      </w:r>
      <w:r w:rsidRPr="00EC0A0F">
        <w:rPr>
          <w:rFonts w:ascii="Adobe Garamond Pro" w:hAnsi="Adobe Garamond Pro" w:cs="Times New Roman"/>
          <w:i/>
          <w:iCs/>
          <w:noProof/>
        </w:rPr>
        <w:t>54</w:t>
      </w:r>
      <w:r w:rsidRPr="00EC0A0F">
        <w:rPr>
          <w:rFonts w:ascii="Adobe Garamond Pro" w:hAnsi="Adobe Garamond Pro" w:cs="Times New Roman"/>
          <w:noProof/>
        </w:rPr>
        <w:t>, 135–147.</w:t>
      </w:r>
    </w:p>
    <w:p w14:paraId="22CD2AEF"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Gaveau, D. L. A., Sheil, D., Husnayaen, Salim, M. A., Arjasakusuma, S., Ancrenaz, M., Pacheco, P., &amp; Meijaard, E. (2016). Rapid conversions and avoided deforestation: examining four decades of industrial plantation expansion in Borneo. </w:t>
      </w:r>
      <w:r w:rsidRPr="00EC0A0F">
        <w:rPr>
          <w:rFonts w:ascii="Adobe Garamond Pro" w:hAnsi="Adobe Garamond Pro" w:cs="Times New Roman"/>
          <w:i/>
          <w:iCs/>
          <w:noProof/>
        </w:rPr>
        <w:t>Scientific Reports</w:t>
      </w:r>
      <w:r w:rsidRPr="00EC0A0F">
        <w:rPr>
          <w:rFonts w:ascii="Adobe Garamond Pro" w:hAnsi="Adobe Garamond Pro" w:cs="Times New Roman"/>
          <w:noProof/>
        </w:rPr>
        <w:t xml:space="preserve">, </w:t>
      </w:r>
      <w:r w:rsidRPr="00EC0A0F">
        <w:rPr>
          <w:rFonts w:ascii="Adobe Garamond Pro" w:hAnsi="Adobe Garamond Pro" w:cs="Times New Roman"/>
          <w:i/>
          <w:iCs/>
          <w:noProof/>
        </w:rPr>
        <w:t>6</w:t>
      </w:r>
      <w:r w:rsidRPr="00EC0A0F">
        <w:rPr>
          <w:rFonts w:ascii="Adobe Garamond Pro" w:hAnsi="Adobe Garamond Pro" w:cs="Times New Roman"/>
          <w:noProof/>
        </w:rPr>
        <w:t>(1), 32017.</w:t>
      </w:r>
    </w:p>
    <w:p w14:paraId="33F4E818"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Koh, L. P., &amp; Wilcove, D. S. (2008). Is oil palm agriculture really destroying tropical biodiversity? </w:t>
      </w:r>
      <w:r w:rsidRPr="00EC0A0F">
        <w:rPr>
          <w:rFonts w:ascii="Adobe Garamond Pro" w:hAnsi="Adobe Garamond Pro" w:cs="Times New Roman"/>
          <w:i/>
          <w:iCs/>
          <w:noProof/>
        </w:rPr>
        <w:t xml:space="preserve">Conservation </w:t>
      </w:r>
      <w:r w:rsidRPr="00EC0A0F">
        <w:rPr>
          <w:rFonts w:ascii="Adobe Garamond Pro" w:hAnsi="Adobe Garamond Pro" w:cs="Times New Roman"/>
          <w:i/>
          <w:iCs/>
          <w:noProof/>
        </w:rPr>
        <w:lastRenderedPageBreak/>
        <w:t>Letters</w:t>
      </w:r>
      <w:r w:rsidRPr="00EC0A0F">
        <w:rPr>
          <w:rFonts w:ascii="Adobe Garamond Pro" w:hAnsi="Adobe Garamond Pro" w:cs="Times New Roman"/>
          <w:noProof/>
        </w:rPr>
        <w:t xml:space="preserve">, </w:t>
      </w:r>
      <w:r w:rsidRPr="00EC0A0F">
        <w:rPr>
          <w:rFonts w:ascii="Adobe Garamond Pro" w:hAnsi="Adobe Garamond Pro" w:cs="Times New Roman"/>
          <w:i/>
          <w:iCs/>
          <w:noProof/>
        </w:rPr>
        <w:t>1</w:t>
      </w:r>
      <w:r w:rsidRPr="00EC0A0F">
        <w:rPr>
          <w:rFonts w:ascii="Adobe Garamond Pro" w:hAnsi="Adobe Garamond Pro" w:cs="Times New Roman"/>
          <w:noProof/>
        </w:rPr>
        <w:t>(2), 60–64.</w:t>
      </w:r>
    </w:p>
    <w:p w14:paraId="5578AF51"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Margono, B. A., Potapov, P. V, Turubanova, S., Stolle, F., &amp; Hansen, M. C. (2014). Primary forest cover loss in Indonesia over 2000–2012. </w:t>
      </w:r>
      <w:r w:rsidRPr="00EC0A0F">
        <w:rPr>
          <w:rFonts w:ascii="Adobe Garamond Pro" w:hAnsi="Adobe Garamond Pro" w:cs="Times New Roman"/>
          <w:i/>
          <w:iCs/>
          <w:noProof/>
        </w:rPr>
        <w:t>Nature Climate Change</w:t>
      </w:r>
      <w:r w:rsidRPr="00EC0A0F">
        <w:rPr>
          <w:rFonts w:ascii="Adobe Garamond Pro" w:hAnsi="Adobe Garamond Pro" w:cs="Times New Roman"/>
          <w:noProof/>
        </w:rPr>
        <w:t xml:space="preserve">, </w:t>
      </w:r>
      <w:r w:rsidRPr="00EC0A0F">
        <w:rPr>
          <w:rFonts w:ascii="Adobe Garamond Pro" w:hAnsi="Adobe Garamond Pro" w:cs="Times New Roman"/>
          <w:i/>
          <w:iCs/>
          <w:noProof/>
        </w:rPr>
        <w:t>4</w:t>
      </w:r>
      <w:r w:rsidRPr="00EC0A0F">
        <w:rPr>
          <w:rFonts w:ascii="Adobe Garamond Pro" w:hAnsi="Adobe Garamond Pro" w:cs="Times New Roman"/>
          <w:noProof/>
        </w:rPr>
        <w:t>(8), 730–735.</w:t>
      </w:r>
    </w:p>
    <w:p w14:paraId="11EAA506"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Meijaard, E., Garcia-Ulloa, J., Sheil, D., Carlson, K., Wich, S. A., &amp; Juffe-Bignoli, D. (2018). Oil Palm and Biodiversity–A Situation Analysis. </w:t>
      </w:r>
      <w:r w:rsidRPr="00EC0A0F">
        <w:rPr>
          <w:rFonts w:ascii="Adobe Garamond Pro" w:hAnsi="Adobe Garamond Pro" w:cs="Times New Roman"/>
          <w:i/>
          <w:iCs/>
          <w:noProof/>
        </w:rPr>
        <w:t>IUCN Oil Palm Task Force, Gland, Switzerland</w:t>
      </w:r>
      <w:r w:rsidRPr="00EC0A0F">
        <w:rPr>
          <w:rFonts w:ascii="Adobe Garamond Pro" w:hAnsi="Adobe Garamond Pro" w:cs="Times New Roman"/>
          <w:noProof/>
        </w:rPr>
        <w:t>.</w:t>
      </w:r>
    </w:p>
    <w:p w14:paraId="71C98E8D"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Miettinen, J., Shi, C., &amp; Liew, S. C. (2016). Land cover distribution in the peatlands of Peninsular Malaysia, Sumatra and Borneo in 2015 with changes since 1990. </w:t>
      </w:r>
      <w:r w:rsidRPr="00EC0A0F">
        <w:rPr>
          <w:rFonts w:ascii="Adobe Garamond Pro" w:hAnsi="Adobe Garamond Pro" w:cs="Times New Roman"/>
          <w:i/>
          <w:iCs/>
          <w:noProof/>
        </w:rPr>
        <w:t>Global Ecology and Conservation</w:t>
      </w:r>
      <w:r w:rsidRPr="00EC0A0F">
        <w:rPr>
          <w:rFonts w:ascii="Adobe Garamond Pro" w:hAnsi="Adobe Garamond Pro" w:cs="Times New Roman"/>
          <w:noProof/>
        </w:rPr>
        <w:t xml:space="preserve">, </w:t>
      </w:r>
      <w:r w:rsidRPr="00EC0A0F">
        <w:rPr>
          <w:rFonts w:ascii="Adobe Garamond Pro" w:hAnsi="Adobe Garamond Pro" w:cs="Times New Roman"/>
          <w:i/>
          <w:iCs/>
          <w:noProof/>
        </w:rPr>
        <w:t>6</w:t>
      </w:r>
      <w:r w:rsidRPr="00EC0A0F">
        <w:rPr>
          <w:rFonts w:ascii="Adobe Garamond Pro" w:hAnsi="Adobe Garamond Pro" w:cs="Times New Roman"/>
          <w:noProof/>
        </w:rPr>
        <w:t>, 67–78.</w:t>
      </w:r>
    </w:p>
    <w:p w14:paraId="5C6E99FA" w14:textId="6822C79B"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Pardede, M. (2023). </w:t>
      </w:r>
      <w:r w:rsidR="001931F8" w:rsidRPr="00EC0A0F">
        <w:rPr>
          <w:rFonts w:ascii="Adobe Garamond Pro" w:hAnsi="Adobe Garamond Pro" w:cs="Times New Roman"/>
          <w:noProof/>
        </w:rPr>
        <w:t>Corporate Governance, Corporate Social Responsibility, And Firm Risk: The Case Of Indonesian-Listed Firms</w:t>
      </w:r>
      <w:r w:rsidRPr="00EC0A0F">
        <w:rPr>
          <w:rFonts w:ascii="Adobe Garamond Pro" w:hAnsi="Adobe Garamond Pro" w:cs="Times New Roman"/>
          <w:noProof/>
        </w:rPr>
        <w:t xml:space="preserve">. </w:t>
      </w:r>
      <w:r w:rsidRPr="00EC0A0F">
        <w:rPr>
          <w:rFonts w:ascii="Adobe Garamond Pro" w:hAnsi="Adobe Garamond Pro" w:cs="Times New Roman"/>
          <w:i/>
          <w:iCs/>
          <w:noProof/>
        </w:rPr>
        <w:t>Jurakunman (Jurnal Akuntansi Dan Manajemen)</w:t>
      </w:r>
      <w:r w:rsidRPr="00EC0A0F">
        <w:rPr>
          <w:rFonts w:ascii="Adobe Garamond Pro" w:hAnsi="Adobe Garamond Pro" w:cs="Times New Roman"/>
          <w:noProof/>
        </w:rPr>
        <w:t xml:space="preserve">, </w:t>
      </w:r>
      <w:r w:rsidRPr="00EC0A0F">
        <w:rPr>
          <w:rFonts w:ascii="Adobe Garamond Pro" w:hAnsi="Adobe Garamond Pro" w:cs="Times New Roman"/>
          <w:i/>
          <w:iCs/>
          <w:noProof/>
        </w:rPr>
        <w:t>16</w:t>
      </w:r>
      <w:r w:rsidRPr="00EC0A0F">
        <w:rPr>
          <w:rFonts w:ascii="Adobe Garamond Pro" w:hAnsi="Adobe Garamond Pro" w:cs="Times New Roman"/>
          <w:noProof/>
        </w:rPr>
        <w:t>(2), 281–298.</w:t>
      </w:r>
    </w:p>
    <w:p w14:paraId="1A15F53F" w14:textId="65F01A26"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Pardede, M. (2024). </w:t>
      </w:r>
      <w:r w:rsidR="001931F8" w:rsidRPr="00EC0A0F">
        <w:rPr>
          <w:rFonts w:ascii="Adobe Garamond Pro" w:hAnsi="Adobe Garamond Pro" w:cs="Times New Roman"/>
          <w:noProof/>
        </w:rPr>
        <w:t>Financial Performance Analysis Using Du Pont At Pt. Adaro Energi Indonesia Tbk Period 2019-2023</w:t>
      </w:r>
      <w:r w:rsidRPr="00EC0A0F">
        <w:rPr>
          <w:rFonts w:ascii="Adobe Garamond Pro" w:hAnsi="Adobe Garamond Pro" w:cs="Times New Roman"/>
          <w:noProof/>
        </w:rPr>
        <w:t xml:space="preserve">. </w:t>
      </w:r>
      <w:r w:rsidRPr="00EC0A0F">
        <w:rPr>
          <w:rFonts w:ascii="Adobe Garamond Pro" w:hAnsi="Adobe Garamond Pro" w:cs="Times New Roman"/>
          <w:i/>
          <w:iCs/>
          <w:noProof/>
        </w:rPr>
        <w:t>Jurakunman (Jurnal Akuntansi Dan Manajemen)</w:t>
      </w:r>
      <w:r w:rsidRPr="00EC0A0F">
        <w:rPr>
          <w:rFonts w:ascii="Adobe Garamond Pro" w:hAnsi="Adobe Garamond Pro" w:cs="Times New Roman"/>
          <w:noProof/>
        </w:rPr>
        <w:t xml:space="preserve">, </w:t>
      </w:r>
      <w:r w:rsidRPr="00EC0A0F">
        <w:rPr>
          <w:rFonts w:ascii="Adobe Garamond Pro" w:hAnsi="Adobe Garamond Pro" w:cs="Times New Roman"/>
          <w:i/>
          <w:iCs/>
          <w:noProof/>
        </w:rPr>
        <w:t>17</w:t>
      </w:r>
      <w:r w:rsidRPr="00EC0A0F">
        <w:rPr>
          <w:rFonts w:ascii="Adobe Garamond Pro" w:hAnsi="Adobe Garamond Pro" w:cs="Times New Roman"/>
          <w:noProof/>
        </w:rPr>
        <w:t>(2), 166–176.</w:t>
      </w:r>
    </w:p>
    <w:p w14:paraId="576E3B2A"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Perego, P. (2010). </w:t>
      </w:r>
      <w:r w:rsidRPr="00EC0A0F">
        <w:rPr>
          <w:rFonts w:ascii="Adobe Garamond Pro" w:hAnsi="Adobe Garamond Pro" w:cs="Times New Roman"/>
          <w:i/>
          <w:iCs/>
          <w:noProof/>
        </w:rPr>
        <w:t>Determinants of the Adoption of Sustainability Assurance Statements: An International Investigation</w:t>
      </w:r>
      <w:r w:rsidRPr="00EC0A0F">
        <w:rPr>
          <w:rFonts w:ascii="Adobe Garamond Pro" w:hAnsi="Adobe Garamond Pro" w:cs="Times New Roman"/>
          <w:noProof/>
        </w:rPr>
        <w:t xml:space="preserve">. </w:t>
      </w:r>
      <w:r w:rsidRPr="00EC0A0F">
        <w:rPr>
          <w:rFonts w:ascii="Adobe Garamond Pro" w:hAnsi="Adobe Garamond Pro" w:cs="Times New Roman"/>
          <w:i/>
          <w:iCs/>
          <w:noProof/>
        </w:rPr>
        <w:t>198</w:t>
      </w:r>
      <w:r w:rsidRPr="00EC0A0F">
        <w:rPr>
          <w:rFonts w:ascii="Adobe Garamond Pro" w:hAnsi="Adobe Garamond Pro" w:cs="Times New Roman"/>
          <w:noProof/>
        </w:rPr>
        <w:t>(December 2008), 182–198.</w:t>
      </w:r>
    </w:p>
    <w:p w14:paraId="3AE0ACD3"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Popay, J., Roberts, H., Sowden, A., Petticrew, M., Arai, L., Rodgers, M., Britten, N., Roen, K., &amp; Duffy, S. (2006). Guidance on the conduct of narrative synthesis in systematic reviews. </w:t>
      </w:r>
      <w:r w:rsidRPr="00EC0A0F">
        <w:rPr>
          <w:rFonts w:ascii="Adobe Garamond Pro" w:hAnsi="Adobe Garamond Pro" w:cs="Times New Roman"/>
          <w:i/>
          <w:iCs/>
          <w:noProof/>
        </w:rPr>
        <w:t>A Product from the ESRC Methods Programme Version</w:t>
      </w:r>
      <w:r w:rsidRPr="00EC0A0F">
        <w:rPr>
          <w:rFonts w:ascii="Adobe Garamond Pro" w:hAnsi="Adobe Garamond Pro" w:cs="Times New Roman"/>
          <w:noProof/>
        </w:rPr>
        <w:t xml:space="preserve">, </w:t>
      </w:r>
      <w:r w:rsidRPr="00EC0A0F">
        <w:rPr>
          <w:rFonts w:ascii="Adobe Garamond Pro" w:hAnsi="Adobe Garamond Pro" w:cs="Times New Roman"/>
          <w:i/>
          <w:iCs/>
          <w:noProof/>
        </w:rPr>
        <w:t>1</w:t>
      </w:r>
      <w:r w:rsidRPr="00EC0A0F">
        <w:rPr>
          <w:rFonts w:ascii="Adobe Garamond Pro" w:hAnsi="Adobe Garamond Pro" w:cs="Times New Roman"/>
          <w:noProof/>
        </w:rPr>
        <w:t>(1), b92.</w:t>
      </w:r>
    </w:p>
    <w:p w14:paraId="5852EA13"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Sari, R. N., Herawati, N., &amp; Pauzi, N. F. M. (2023). The Mapping of Tax Compliance Research in Indonesia. </w:t>
      </w:r>
      <w:r w:rsidRPr="00EC0A0F">
        <w:rPr>
          <w:rFonts w:ascii="Adobe Garamond Pro" w:hAnsi="Adobe Garamond Pro" w:cs="Times New Roman"/>
          <w:i/>
          <w:iCs/>
          <w:noProof/>
        </w:rPr>
        <w:t>Wahana Riset Akuntansi</w:t>
      </w:r>
      <w:r w:rsidRPr="00EC0A0F">
        <w:rPr>
          <w:rFonts w:ascii="Adobe Garamond Pro" w:hAnsi="Adobe Garamond Pro" w:cs="Times New Roman"/>
          <w:noProof/>
        </w:rPr>
        <w:t xml:space="preserve">, </w:t>
      </w:r>
      <w:r w:rsidRPr="00EC0A0F">
        <w:rPr>
          <w:rFonts w:ascii="Adobe Garamond Pro" w:hAnsi="Adobe Garamond Pro" w:cs="Times New Roman"/>
          <w:i/>
          <w:iCs/>
          <w:noProof/>
        </w:rPr>
        <w:t>11</w:t>
      </w:r>
      <w:r w:rsidRPr="00EC0A0F">
        <w:rPr>
          <w:rFonts w:ascii="Adobe Garamond Pro" w:hAnsi="Adobe Garamond Pro" w:cs="Times New Roman"/>
          <w:noProof/>
        </w:rPr>
        <w:t>(1), 63.</w:t>
      </w:r>
    </w:p>
    <w:p w14:paraId="7FEAC96B"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Simnett, R., Vanstraelen, A., &amp; Chua, W. F. (2009). </w:t>
      </w:r>
      <w:r w:rsidRPr="00EC0A0F">
        <w:rPr>
          <w:rFonts w:ascii="Adobe Garamond Pro" w:hAnsi="Adobe Garamond Pro" w:cs="Times New Roman"/>
          <w:i/>
          <w:iCs/>
          <w:noProof/>
        </w:rPr>
        <w:t>Assurance on Sustainability Reports : An International Comparison</w:t>
      </w:r>
      <w:r w:rsidRPr="00EC0A0F">
        <w:rPr>
          <w:rFonts w:ascii="Adobe Garamond Pro" w:hAnsi="Adobe Garamond Pro" w:cs="Times New Roman"/>
          <w:noProof/>
        </w:rPr>
        <w:t xml:space="preserve">. </w:t>
      </w:r>
      <w:r w:rsidRPr="00EC0A0F">
        <w:rPr>
          <w:rFonts w:ascii="Adobe Garamond Pro" w:hAnsi="Adobe Garamond Pro" w:cs="Times New Roman"/>
          <w:i/>
          <w:iCs/>
          <w:noProof/>
        </w:rPr>
        <w:t>84</w:t>
      </w:r>
      <w:r w:rsidRPr="00EC0A0F">
        <w:rPr>
          <w:rFonts w:ascii="Adobe Garamond Pro" w:hAnsi="Adobe Garamond Pro" w:cs="Times New Roman"/>
          <w:noProof/>
        </w:rPr>
        <w:t>(3), 937–967.</w:t>
      </w:r>
    </w:p>
    <w:p w14:paraId="6D3E0B00"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Snyder, H. (2019). Literature review as a research methodology: An overview and guidelines. </w:t>
      </w:r>
      <w:r w:rsidRPr="00EC0A0F">
        <w:rPr>
          <w:rFonts w:ascii="Adobe Garamond Pro" w:hAnsi="Adobe Garamond Pro" w:cs="Times New Roman"/>
          <w:i/>
          <w:iCs/>
          <w:noProof/>
        </w:rPr>
        <w:t>Journal of Business Research</w:t>
      </w:r>
      <w:r w:rsidRPr="00EC0A0F">
        <w:rPr>
          <w:rFonts w:ascii="Adobe Garamond Pro" w:hAnsi="Adobe Garamond Pro" w:cs="Times New Roman"/>
          <w:noProof/>
        </w:rPr>
        <w:t xml:space="preserve">, </w:t>
      </w:r>
      <w:r w:rsidRPr="00EC0A0F">
        <w:rPr>
          <w:rFonts w:ascii="Adobe Garamond Pro" w:hAnsi="Adobe Garamond Pro" w:cs="Times New Roman"/>
          <w:i/>
          <w:iCs/>
          <w:noProof/>
        </w:rPr>
        <w:t>104</w:t>
      </w:r>
      <w:r w:rsidRPr="00EC0A0F">
        <w:rPr>
          <w:rFonts w:ascii="Adobe Garamond Pro" w:hAnsi="Adobe Garamond Pro" w:cs="Times New Roman"/>
          <w:noProof/>
        </w:rPr>
        <w:t>, 333–339.</w:t>
      </w:r>
    </w:p>
    <w:p w14:paraId="0038E608"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Soleha, N., &amp; Rosiana, R. (2021). </w:t>
      </w:r>
      <w:r w:rsidRPr="00EC0A0F">
        <w:rPr>
          <w:rFonts w:ascii="Adobe Garamond Pro" w:hAnsi="Adobe Garamond Pro" w:cs="Times New Roman"/>
          <w:i/>
          <w:iCs/>
          <w:noProof/>
        </w:rPr>
        <w:t>Journal of Applied Business , Taxation and Economics Research ( JABTER ) Exploring Sustainability Reports in The Indonesian Palm Oil Industry</w:t>
      </w:r>
      <w:r w:rsidRPr="00EC0A0F">
        <w:rPr>
          <w:rFonts w:ascii="Adobe Garamond Pro" w:hAnsi="Adobe Garamond Pro" w:cs="Times New Roman"/>
          <w:noProof/>
        </w:rPr>
        <w:t xml:space="preserve">. </w:t>
      </w:r>
      <w:r w:rsidRPr="00EC0A0F">
        <w:rPr>
          <w:rFonts w:ascii="Adobe Garamond Pro" w:hAnsi="Adobe Garamond Pro" w:cs="Times New Roman"/>
          <w:i/>
          <w:iCs/>
          <w:noProof/>
        </w:rPr>
        <w:t>1</w:t>
      </w:r>
      <w:r w:rsidRPr="00EC0A0F">
        <w:rPr>
          <w:rFonts w:ascii="Adobe Garamond Pro" w:hAnsi="Adobe Garamond Pro" w:cs="Times New Roman"/>
          <w:noProof/>
        </w:rPr>
        <w:t>(1), 77–94.</w:t>
      </w:r>
    </w:p>
    <w:p w14:paraId="21DD6B18"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Supriatna, J., Djumarno, D., Saluy, A. B., &amp; Kurniawan, D. (2024). Sustainability Analysis of Smallholder Oil Palm Plantations in Several Provinces in Indonesia. </w:t>
      </w:r>
      <w:r w:rsidRPr="00EC0A0F">
        <w:rPr>
          <w:rFonts w:ascii="Adobe Garamond Pro" w:hAnsi="Adobe Garamond Pro" w:cs="Times New Roman"/>
          <w:i/>
          <w:iCs/>
          <w:noProof/>
        </w:rPr>
        <w:t>Sustainability</w:t>
      </w:r>
      <w:r w:rsidRPr="00EC0A0F">
        <w:rPr>
          <w:rFonts w:ascii="Adobe Garamond Pro" w:hAnsi="Adobe Garamond Pro" w:cs="Times New Roman"/>
          <w:noProof/>
        </w:rPr>
        <w:t xml:space="preserve">, </w:t>
      </w:r>
      <w:r w:rsidRPr="00EC0A0F">
        <w:rPr>
          <w:rFonts w:ascii="Adobe Garamond Pro" w:hAnsi="Adobe Garamond Pro" w:cs="Times New Roman"/>
          <w:i/>
          <w:iCs/>
          <w:noProof/>
        </w:rPr>
        <w:t>16</w:t>
      </w:r>
      <w:r w:rsidRPr="00EC0A0F">
        <w:rPr>
          <w:rFonts w:ascii="Adobe Garamond Pro" w:hAnsi="Adobe Garamond Pro" w:cs="Times New Roman"/>
          <w:noProof/>
        </w:rPr>
        <w:t>(11), 4383.</w:t>
      </w:r>
    </w:p>
    <w:p w14:paraId="46623550"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York, R., &amp; Rosa, E. A. (2003). Key challenges to ecological modernization theory: Institutional efficacy, case study evidence, units of analysis, and the pace of eco-efficiency. </w:t>
      </w:r>
      <w:r w:rsidRPr="00EC0A0F">
        <w:rPr>
          <w:rFonts w:ascii="Adobe Garamond Pro" w:hAnsi="Adobe Garamond Pro" w:cs="Times New Roman"/>
          <w:i/>
          <w:iCs/>
          <w:noProof/>
        </w:rPr>
        <w:t>Organization &amp; Environment</w:t>
      </w:r>
      <w:r w:rsidRPr="00EC0A0F">
        <w:rPr>
          <w:rFonts w:ascii="Adobe Garamond Pro" w:hAnsi="Adobe Garamond Pro" w:cs="Times New Roman"/>
          <w:noProof/>
        </w:rPr>
        <w:t xml:space="preserve">, </w:t>
      </w:r>
      <w:r w:rsidRPr="00EC0A0F">
        <w:rPr>
          <w:rFonts w:ascii="Adobe Garamond Pro" w:hAnsi="Adobe Garamond Pro" w:cs="Times New Roman"/>
          <w:i/>
          <w:iCs/>
          <w:noProof/>
        </w:rPr>
        <w:t>16</w:t>
      </w:r>
      <w:r w:rsidRPr="00EC0A0F">
        <w:rPr>
          <w:rFonts w:ascii="Adobe Garamond Pro" w:hAnsi="Adobe Garamond Pro" w:cs="Times New Roman"/>
          <w:noProof/>
        </w:rPr>
        <w:t>(3), 273–288.</w:t>
      </w:r>
    </w:p>
    <w:p w14:paraId="40A40BC3"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Zu Ermgassen, E. K. H. J., Bastos Lima, M. G., Bellfield, H., Dontenville, A., Gardner, T., Godar, J., Heilmayr, R., Indenbaum, R., Dos Reis, T. N. P., &amp; Ribeiro, V. (2022). Addressing indirect sourcing in zero deforestation commodity supply chains. </w:t>
      </w:r>
      <w:r w:rsidRPr="00EC0A0F">
        <w:rPr>
          <w:rFonts w:ascii="Adobe Garamond Pro" w:hAnsi="Adobe Garamond Pro" w:cs="Times New Roman"/>
          <w:i/>
          <w:iCs/>
          <w:noProof/>
        </w:rPr>
        <w:t>Science Advances</w:t>
      </w:r>
      <w:r w:rsidRPr="00EC0A0F">
        <w:rPr>
          <w:rFonts w:ascii="Adobe Garamond Pro" w:hAnsi="Adobe Garamond Pro" w:cs="Times New Roman"/>
          <w:noProof/>
        </w:rPr>
        <w:t xml:space="preserve">, </w:t>
      </w:r>
      <w:r w:rsidRPr="00EC0A0F">
        <w:rPr>
          <w:rFonts w:ascii="Adobe Garamond Pro" w:hAnsi="Adobe Garamond Pro" w:cs="Times New Roman"/>
          <w:i/>
          <w:iCs/>
          <w:noProof/>
        </w:rPr>
        <w:t>8</w:t>
      </w:r>
      <w:r w:rsidRPr="00EC0A0F">
        <w:rPr>
          <w:rFonts w:ascii="Adobe Garamond Pro" w:hAnsi="Adobe Garamond Pro" w:cs="Times New Roman"/>
          <w:noProof/>
        </w:rPr>
        <w:t>(17), eabn3132.</w:t>
      </w:r>
    </w:p>
    <w:p w14:paraId="70641F8A" w14:textId="77777777" w:rsidR="00EC0A0F" w:rsidRPr="00EC0A0F" w:rsidRDefault="00EC0A0F" w:rsidP="00EC0A0F">
      <w:pPr>
        <w:widowControl w:val="0"/>
        <w:autoSpaceDE w:val="0"/>
        <w:autoSpaceDN w:val="0"/>
        <w:adjustRightInd w:val="0"/>
        <w:spacing w:after="0" w:line="240" w:lineRule="auto"/>
        <w:ind w:left="480" w:hanging="480"/>
        <w:jc w:val="both"/>
        <w:rPr>
          <w:rFonts w:ascii="Adobe Garamond Pro" w:hAnsi="Adobe Garamond Pro" w:cs="Times New Roman"/>
          <w:noProof/>
        </w:rPr>
      </w:pPr>
      <w:r w:rsidRPr="00EC0A0F">
        <w:rPr>
          <w:rFonts w:ascii="Adobe Garamond Pro" w:hAnsi="Adobe Garamond Pro" w:cs="Times New Roman"/>
          <w:noProof/>
        </w:rPr>
        <w:t xml:space="preserve">Zupic, I., &amp; Čater, T. (2015). Bibliometric methods in management and organization. </w:t>
      </w:r>
      <w:r w:rsidRPr="00EC0A0F">
        <w:rPr>
          <w:rFonts w:ascii="Adobe Garamond Pro" w:hAnsi="Adobe Garamond Pro" w:cs="Times New Roman"/>
          <w:i/>
          <w:iCs/>
          <w:noProof/>
        </w:rPr>
        <w:t>Organizational Research Methods</w:t>
      </w:r>
      <w:r w:rsidRPr="00EC0A0F">
        <w:rPr>
          <w:rFonts w:ascii="Adobe Garamond Pro" w:hAnsi="Adobe Garamond Pro" w:cs="Times New Roman"/>
          <w:noProof/>
        </w:rPr>
        <w:t xml:space="preserve">, </w:t>
      </w:r>
      <w:r w:rsidRPr="00EC0A0F">
        <w:rPr>
          <w:rFonts w:ascii="Adobe Garamond Pro" w:hAnsi="Adobe Garamond Pro" w:cs="Times New Roman"/>
          <w:i/>
          <w:iCs/>
          <w:noProof/>
        </w:rPr>
        <w:t>18</w:t>
      </w:r>
      <w:r w:rsidRPr="00EC0A0F">
        <w:rPr>
          <w:rFonts w:ascii="Adobe Garamond Pro" w:hAnsi="Adobe Garamond Pro" w:cs="Times New Roman"/>
          <w:noProof/>
        </w:rPr>
        <w:t>(3), 429–472.</w:t>
      </w:r>
    </w:p>
    <w:p w14:paraId="1CE35229" w14:textId="4EFC4BCD" w:rsidR="00A67F58" w:rsidRPr="006D633A" w:rsidRDefault="00EC0A0F" w:rsidP="00EC0A0F">
      <w:pPr>
        <w:tabs>
          <w:tab w:val="left" w:pos="993"/>
        </w:tabs>
        <w:spacing w:before="160" w:after="80" w:line="240" w:lineRule="auto"/>
        <w:jc w:val="both"/>
        <w:rPr>
          <w:rFonts w:ascii="Adobe Garamond Pro" w:hAnsi="Adobe Garamond Pro" w:cstheme="minorHAnsi"/>
          <w:lang w:val="id-ID"/>
        </w:rPr>
      </w:pPr>
      <w:r w:rsidRPr="00EC0A0F">
        <w:rPr>
          <w:rFonts w:ascii="Adobe Garamond Pro" w:hAnsi="Adobe Garamond Pro"/>
        </w:rPr>
        <w:fldChar w:fldCharType="end"/>
      </w:r>
    </w:p>
    <w:p w14:paraId="57D3C237" w14:textId="77777777" w:rsidR="00A67F58" w:rsidRPr="006D633A" w:rsidRDefault="00825BC7">
      <w:pPr>
        <w:tabs>
          <w:tab w:val="left" w:pos="993"/>
        </w:tabs>
        <w:spacing w:before="160" w:after="80" w:line="240" w:lineRule="auto"/>
        <w:jc w:val="both"/>
        <w:rPr>
          <w:rFonts w:ascii="Adobe Garamond Pro" w:hAnsi="Adobe Garamond Pro" w:cstheme="minorHAnsi"/>
          <w:b/>
          <w:lang w:val="id-ID"/>
        </w:rPr>
      </w:pPr>
      <w:r w:rsidRPr="006D633A">
        <w:rPr>
          <w:rFonts w:ascii="Adobe Garamond Pro" w:hAnsi="Adobe Garamond Pro" w:cstheme="minorHAnsi"/>
          <w:b/>
          <w:lang w:val="id-ID"/>
        </w:rPr>
        <w:t>Internet</w:t>
      </w:r>
    </w:p>
    <w:p w14:paraId="737411BA" w14:textId="77777777" w:rsidR="00EC0A0F" w:rsidRPr="00EC0A0F" w:rsidRDefault="00EC0A0F" w:rsidP="00EC0A0F">
      <w:pPr>
        <w:pStyle w:val="BodyText"/>
        <w:ind w:left="567" w:right="49" w:hanging="567"/>
        <w:rPr>
          <w:rFonts w:ascii="Adobe Garamond Pro" w:hAnsi="Adobe Garamond Pro"/>
          <w:sz w:val="22"/>
          <w:szCs w:val="22"/>
        </w:rPr>
      </w:pPr>
      <w:bookmarkStart w:id="24" w:name="_Hlk217594109"/>
      <w:r w:rsidRPr="00EC0A0F">
        <w:rPr>
          <w:rFonts w:ascii="Adobe Garamond Pro" w:hAnsi="Adobe Garamond Pro"/>
          <w:sz w:val="22"/>
          <w:szCs w:val="22"/>
        </w:rPr>
        <w:t xml:space="preserve">Kementerian Lingkungan Hidup dan Kehutanan. (2025, April 22). </w:t>
      </w:r>
      <w:r w:rsidRPr="00EC0A0F">
        <w:rPr>
          <w:rFonts w:ascii="Adobe Garamond Pro" w:hAnsi="Adobe Garamond Pro"/>
          <w:i/>
          <w:iCs/>
          <w:sz w:val="22"/>
          <w:szCs w:val="22"/>
        </w:rPr>
        <w:t>Indonesia records 175.4 thousand hectares of deforestation in 2024: Forestry ministry accelerates rehabilitation efforts.</w:t>
      </w:r>
      <w:r w:rsidRPr="00EC0A0F">
        <w:rPr>
          <w:rFonts w:ascii="Adobe Garamond Pro" w:hAnsi="Adobe Garamond Pro"/>
          <w:sz w:val="22"/>
          <w:szCs w:val="22"/>
        </w:rPr>
        <w:t xml:space="preserve"> Palm Oil Magazine. Retrieved from </w:t>
      </w:r>
      <w:hyperlink r:id="rId13" w:history="1">
        <w:r w:rsidRPr="00EC0A0F">
          <w:rPr>
            <w:rStyle w:val="Hyperlink"/>
            <w:rFonts w:ascii="Adobe Garamond Pro" w:hAnsi="Adobe Garamond Pro"/>
            <w:sz w:val="22"/>
            <w:szCs w:val="22"/>
          </w:rPr>
          <w:t>https://www.palmoilmagazine.com/sustainability/2025/04/22/indonesia-records-175-4-thousand-hectares-of-deforestation-in-2024-forestry-ministry-accelerates-rehabilitation-efforts/</w:t>
        </w:r>
      </w:hyperlink>
    </w:p>
    <w:p w14:paraId="46D8FDF0" w14:textId="77777777" w:rsidR="00EC0A0F" w:rsidRPr="00EC0A0F" w:rsidRDefault="00EC0A0F" w:rsidP="00EC0A0F">
      <w:pPr>
        <w:pStyle w:val="BodyText"/>
        <w:ind w:left="567" w:right="49" w:hanging="567"/>
        <w:rPr>
          <w:rFonts w:ascii="Adobe Garamond Pro" w:hAnsi="Adobe Garamond Pro"/>
          <w:sz w:val="22"/>
          <w:szCs w:val="22"/>
        </w:rPr>
      </w:pPr>
      <w:r w:rsidRPr="00EC0A0F">
        <w:rPr>
          <w:rFonts w:ascii="Adobe Garamond Pro" w:hAnsi="Adobe Garamond Pro"/>
          <w:sz w:val="22"/>
          <w:szCs w:val="22"/>
        </w:rPr>
        <w:t xml:space="preserve">Nusantara Atlas. (2024). </w:t>
      </w:r>
      <w:r w:rsidRPr="00EC0A0F">
        <w:rPr>
          <w:rFonts w:ascii="Adobe Garamond Pro" w:hAnsi="Adobe Garamond Pro"/>
          <w:i/>
          <w:iCs/>
          <w:sz w:val="22"/>
          <w:szCs w:val="22"/>
        </w:rPr>
        <w:t xml:space="preserve">Indonesia’s primary forest loss slows in 2024. </w:t>
      </w:r>
      <w:r w:rsidRPr="00EC0A0F">
        <w:rPr>
          <w:rFonts w:ascii="Adobe Garamond Pro" w:hAnsi="Adobe Garamond Pro"/>
          <w:sz w:val="22"/>
          <w:szCs w:val="22"/>
        </w:rPr>
        <w:t xml:space="preserve">Retrieved from </w:t>
      </w:r>
      <w:hyperlink r:id="rId14" w:history="1">
        <w:r w:rsidRPr="00EC0A0F">
          <w:rPr>
            <w:rStyle w:val="Hyperlink"/>
            <w:rFonts w:ascii="Adobe Garamond Pro" w:hAnsi="Adobe Garamond Pro"/>
            <w:sz w:val="22"/>
            <w:szCs w:val="22"/>
          </w:rPr>
          <w:t>https://nusantara-atlas.org/indonesias-primary-forest-loss-slows-in-2024/</w:t>
        </w:r>
      </w:hyperlink>
    </w:p>
    <w:p w14:paraId="0D92B349" w14:textId="77777777" w:rsidR="00EC0A0F" w:rsidRPr="00EC0A0F" w:rsidRDefault="00EC0A0F" w:rsidP="00EC0A0F">
      <w:pPr>
        <w:pStyle w:val="BodyText"/>
        <w:ind w:left="567" w:right="49" w:hanging="567"/>
        <w:rPr>
          <w:rFonts w:ascii="Adobe Garamond Pro" w:hAnsi="Adobe Garamond Pro"/>
          <w:sz w:val="22"/>
          <w:szCs w:val="22"/>
        </w:rPr>
      </w:pPr>
      <w:r w:rsidRPr="00EC0A0F">
        <w:rPr>
          <w:rFonts w:ascii="Adobe Garamond Pro" w:hAnsi="Adobe Garamond Pro"/>
          <w:sz w:val="22"/>
          <w:szCs w:val="22"/>
        </w:rPr>
        <w:t xml:space="preserve">Palmoilina. (2024). </w:t>
      </w:r>
      <w:r w:rsidRPr="00EC0A0F">
        <w:rPr>
          <w:rFonts w:ascii="Adobe Garamond Pro" w:hAnsi="Adobe Garamond Pro"/>
          <w:i/>
          <w:iCs/>
          <w:sz w:val="22"/>
          <w:szCs w:val="22"/>
        </w:rPr>
        <w:t>Isu sawit dalam deforestasi.</w:t>
      </w:r>
      <w:r w:rsidRPr="00EC0A0F">
        <w:rPr>
          <w:rFonts w:ascii="Adobe Garamond Pro" w:hAnsi="Adobe Garamond Pro"/>
          <w:sz w:val="22"/>
          <w:szCs w:val="22"/>
        </w:rPr>
        <w:t xml:space="preserve"> Retrieved from </w:t>
      </w:r>
      <w:hyperlink r:id="rId15" w:history="1">
        <w:r w:rsidRPr="00EC0A0F">
          <w:rPr>
            <w:rStyle w:val="Hyperlink"/>
            <w:rFonts w:ascii="Adobe Garamond Pro" w:hAnsi="Adobe Garamond Pro"/>
            <w:sz w:val="22"/>
            <w:szCs w:val="22"/>
          </w:rPr>
          <w:t>https://palmoilina.asia/sawit-hub/isu-sawit-dalam-deforestasi/</w:t>
        </w:r>
      </w:hyperlink>
    </w:p>
    <w:p w14:paraId="4FF4BBDA" w14:textId="77777777" w:rsidR="00EC0A0F" w:rsidRPr="00EC0A0F" w:rsidRDefault="00EC0A0F" w:rsidP="00EC0A0F">
      <w:pPr>
        <w:pStyle w:val="BodyText"/>
        <w:ind w:left="567" w:right="49" w:hanging="567"/>
        <w:rPr>
          <w:rFonts w:ascii="Adobe Garamond Pro" w:hAnsi="Adobe Garamond Pro"/>
          <w:sz w:val="22"/>
          <w:szCs w:val="22"/>
        </w:rPr>
      </w:pPr>
      <w:r w:rsidRPr="00EC0A0F">
        <w:rPr>
          <w:rFonts w:ascii="Adobe Garamond Pro" w:hAnsi="Adobe Garamond Pro"/>
          <w:sz w:val="22"/>
          <w:szCs w:val="22"/>
        </w:rPr>
        <w:t xml:space="preserve">New Security Beat. (2024, October). </w:t>
      </w:r>
      <w:r w:rsidRPr="00EC0A0F">
        <w:rPr>
          <w:rFonts w:ascii="Adobe Garamond Pro" w:hAnsi="Adobe Garamond Pro"/>
          <w:i/>
          <w:iCs/>
          <w:sz w:val="22"/>
          <w:szCs w:val="22"/>
        </w:rPr>
        <w:t>A decade of progress on palm oil deforestation at risk in Indonesia.</w:t>
      </w:r>
      <w:r w:rsidRPr="00EC0A0F">
        <w:rPr>
          <w:rFonts w:ascii="Adobe Garamond Pro" w:hAnsi="Adobe Garamond Pro"/>
          <w:sz w:val="22"/>
          <w:szCs w:val="22"/>
        </w:rPr>
        <w:t xml:space="preserve"> Retrieved from </w:t>
      </w:r>
      <w:hyperlink r:id="rId16" w:tgtFrame="_new" w:history="1">
        <w:r w:rsidRPr="00EC0A0F">
          <w:rPr>
            <w:rStyle w:val="Hyperlink"/>
            <w:rFonts w:ascii="Adobe Garamond Pro" w:hAnsi="Adobe Garamond Pro"/>
            <w:sz w:val="22"/>
            <w:szCs w:val="22"/>
          </w:rPr>
          <w:t>https://www.newsecuritybeat.org/2024/10/a-decade-of-progress-on-palm-oil-deforestation-at-risk-in-indonesia/</w:t>
        </w:r>
      </w:hyperlink>
    </w:p>
    <w:p w14:paraId="7AD78D35" w14:textId="77777777" w:rsidR="00EC0A0F" w:rsidRPr="00EC0A0F" w:rsidRDefault="00EC0A0F" w:rsidP="00EC0A0F">
      <w:pPr>
        <w:pStyle w:val="BodyText"/>
        <w:ind w:left="567" w:right="49" w:hanging="567"/>
        <w:rPr>
          <w:rFonts w:ascii="Adobe Garamond Pro" w:hAnsi="Adobe Garamond Pro"/>
          <w:sz w:val="22"/>
          <w:szCs w:val="22"/>
        </w:rPr>
      </w:pPr>
      <w:r w:rsidRPr="00EC0A0F">
        <w:rPr>
          <w:rFonts w:ascii="Adobe Garamond Pro" w:hAnsi="Adobe Garamond Pro"/>
          <w:sz w:val="22"/>
          <w:szCs w:val="22"/>
        </w:rPr>
        <w:t xml:space="preserve">Associated Press. (2024, November). </w:t>
      </w:r>
      <w:r w:rsidRPr="00EC0A0F">
        <w:rPr>
          <w:rFonts w:ascii="Adobe Garamond Pro" w:hAnsi="Adobe Garamond Pro"/>
          <w:i/>
          <w:iCs/>
          <w:sz w:val="22"/>
          <w:szCs w:val="22"/>
        </w:rPr>
        <w:t>Indonesia’s deforestation rate shows mixed progress amid global climate goals.</w:t>
      </w:r>
      <w:r w:rsidRPr="00EC0A0F">
        <w:rPr>
          <w:rFonts w:ascii="Adobe Garamond Pro" w:hAnsi="Adobe Garamond Pro"/>
          <w:sz w:val="22"/>
          <w:szCs w:val="22"/>
        </w:rPr>
        <w:t xml:space="preserve"> Retrieved from </w:t>
      </w:r>
      <w:hyperlink r:id="rId17" w:tgtFrame="_new" w:history="1">
        <w:r w:rsidRPr="00EC0A0F">
          <w:rPr>
            <w:rStyle w:val="Hyperlink"/>
            <w:rFonts w:ascii="Adobe Garamond Pro" w:hAnsi="Adobe Garamond Pro"/>
            <w:sz w:val="22"/>
            <w:szCs w:val="22"/>
          </w:rPr>
          <w:t>https://apnews.com/article/48a4503e383a52e4dbbee81209c87887</w:t>
        </w:r>
      </w:hyperlink>
    </w:p>
    <w:p w14:paraId="3A51237D" w14:textId="77777777" w:rsidR="00EC0A0F" w:rsidRPr="00EC0A0F" w:rsidRDefault="00EC0A0F" w:rsidP="00EC0A0F">
      <w:pPr>
        <w:pStyle w:val="BodyText"/>
        <w:ind w:left="567" w:right="49" w:hanging="567"/>
        <w:rPr>
          <w:rFonts w:ascii="Adobe Garamond Pro" w:hAnsi="Adobe Garamond Pro"/>
          <w:sz w:val="22"/>
          <w:szCs w:val="22"/>
        </w:rPr>
      </w:pPr>
      <w:r w:rsidRPr="00EC0A0F">
        <w:rPr>
          <w:rFonts w:ascii="Adobe Garamond Pro" w:hAnsi="Adobe Garamond Pro"/>
          <w:sz w:val="22"/>
          <w:szCs w:val="22"/>
        </w:rPr>
        <w:t xml:space="preserve">Stockholm Environment Institute (SEI). (2024). </w:t>
      </w:r>
      <w:r w:rsidRPr="00EC0A0F">
        <w:rPr>
          <w:rFonts w:ascii="Adobe Garamond Pro" w:hAnsi="Adobe Garamond Pro"/>
          <w:i/>
          <w:iCs/>
          <w:sz w:val="22"/>
          <w:szCs w:val="22"/>
        </w:rPr>
        <w:t>Indonesian palm oil exports and deforestation: Trends and trade-offs.</w:t>
      </w:r>
      <w:r w:rsidRPr="00EC0A0F">
        <w:rPr>
          <w:rFonts w:ascii="Adobe Garamond Pro" w:hAnsi="Adobe Garamond Pro"/>
          <w:sz w:val="22"/>
          <w:szCs w:val="22"/>
        </w:rPr>
        <w:t xml:space="preserve"> Retrieved from </w:t>
      </w:r>
      <w:hyperlink r:id="rId18" w:tgtFrame="_new" w:history="1">
        <w:r w:rsidRPr="00EC0A0F">
          <w:rPr>
            <w:rStyle w:val="Hyperlink"/>
            <w:rFonts w:ascii="Adobe Garamond Pro" w:hAnsi="Adobe Garamond Pro"/>
            <w:sz w:val="22"/>
            <w:szCs w:val="22"/>
          </w:rPr>
          <w:t>https://www.sei.org/features/indonesian-palm-oil-exports-and-deforestation/</w:t>
        </w:r>
      </w:hyperlink>
    </w:p>
    <w:bookmarkEnd w:id="24"/>
    <w:p w14:paraId="71CE9138" w14:textId="07D78E20" w:rsidR="00A67F58" w:rsidRPr="006D633A" w:rsidRDefault="00A67F58" w:rsidP="00EC0A0F">
      <w:pPr>
        <w:tabs>
          <w:tab w:val="left" w:pos="993"/>
        </w:tabs>
        <w:spacing w:after="0" w:line="240" w:lineRule="auto"/>
        <w:ind w:left="284" w:hanging="284"/>
        <w:rPr>
          <w:rFonts w:ascii="Adobe Garamond Pro" w:hAnsi="Adobe Garamond Pro" w:cstheme="minorHAnsi"/>
          <w:lang w:val="id-ID"/>
        </w:rPr>
      </w:pPr>
    </w:p>
    <w:sectPr w:rsidR="00A67F58" w:rsidRPr="006D633A" w:rsidSect="00CE4948">
      <w:headerReference w:type="default" r:id="rId19"/>
      <w:pgSz w:w="11907" w:h="16840"/>
      <w:pgMar w:top="1701" w:right="1418" w:bottom="1418" w:left="1418" w:header="1077" w:footer="1134" w:gutter="0"/>
      <w:pgNumType w:start="57"/>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3423" w14:textId="77777777" w:rsidR="00326303" w:rsidRDefault="00326303">
      <w:pPr>
        <w:spacing w:line="240" w:lineRule="auto"/>
      </w:pPr>
      <w:r>
        <w:separator/>
      </w:r>
    </w:p>
  </w:endnote>
  <w:endnote w:type="continuationSeparator" w:id="0">
    <w:p w14:paraId="3947BAFC" w14:textId="77777777" w:rsidR="00326303" w:rsidRDefault="00326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486622"/>
      <w:docPartObj>
        <w:docPartGallery w:val="Page Numbers (Bottom of Page)"/>
        <w:docPartUnique/>
      </w:docPartObj>
    </w:sdtPr>
    <w:sdtEndPr>
      <w:rPr>
        <w:noProof/>
      </w:rPr>
    </w:sdtEndPr>
    <w:sdtContent>
      <w:p w14:paraId="5CFCD646" w14:textId="23C6EBEB" w:rsidR="00CE4948" w:rsidRDefault="00CE49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56BCA" w14:textId="6C26A442" w:rsidR="00A67F58" w:rsidRDefault="00A67F58">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F6A2" w14:textId="77777777" w:rsidR="00326303" w:rsidRDefault="00326303">
      <w:pPr>
        <w:spacing w:after="0"/>
      </w:pPr>
      <w:r>
        <w:separator/>
      </w:r>
    </w:p>
  </w:footnote>
  <w:footnote w:type="continuationSeparator" w:id="0">
    <w:p w14:paraId="639CA3A9" w14:textId="77777777" w:rsidR="00326303" w:rsidRDefault="003263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D65" w14:textId="77777777" w:rsidR="00A67F58" w:rsidRDefault="00825BC7">
    <w:pPr>
      <w:pStyle w:val="Header"/>
      <w:tabs>
        <w:tab w:val="clear" w:pos="4680"/>
        <w:tab w:val="clear" w:pos="9360"/>
        <w:tab w:val="right" w:pos="9071"/>
      </w:tabs>
      <w:rPr>
        <w:rFonts w:cstheme="minorHAnsi"/>
      </w:rPr>
    </w:pPr>
    <w:r>
      <w:rPr>
        <w:rFonts w:cstheme="minorHAnsi"/>
      </w:rPr>
      <w:t>Journal of Indonesian Economy and Business</w:t>
    </w:r>
    <w:r>
      <w:rPr>
        <w:rFonts w:cstheme="minorHAnsi"/>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E0A8" w14:textId="77777777" w:rsidR="00CE4948" w:rsidRDefault="00CE4948" w:rsidP="00CE4948">
    <w:pPr>
      <w:pStyle w:val="Header"/>
      <w:tabs>
        <w:tab w:val="clear" w:pos="9360"/>
        <w:tab w:val="right" w:pos="9071"/>
      </w:tabs>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00893064" w14:textId="19EE5EEE" w:rsidR="00A67F58" w:rsidRPr="00CE4948" w:rsidRDefault="00CE4948" w:rsidP="00CE4948">
    <w:pPr>
      <w:pStyle w:val="Header"/>
    </w:pPr>
    <w:r w:rsidRPr="00E61F1D">
      <w:rPr>
        <w:rFonts w:asciiTheme="majorHAnsi" w:hAnsiTheme="majorHAnsi"/>
      </w:rPr>
      <w:t>Vol. 2, Issue. 1, Februari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4A52" w14:textId="77777777" w:rsidR="00CE4948" w:rsidRDefault="00CE4948" w:rsidP="00CE4948">
    <w:pPr>
      <w:pStyle w:val="Header"/>
      <w:tabs>
        <w:tab w:val="clear" w:pos="9360"/>
        <w:tab w:val="right" w:pos="9071"/>
      </w:tabs>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7F91549F" w14:textId="6746FB5C" w:rsidR="00A67F58" w:rsidRPr="00CE4948" w:rsidRDefault="00CE4948" w:rsidP="00CE4948">
    <w:pPr>
      <w:pStyle w:val="Header"/>
    </w:pPr>
    <w:r w:rsidRPr="00E61F1D">
      <w:rPr>
        <w:rFonts w:asciiTheme="majorHAnsi" w:hAnsiTheme="majorHAnsi"/>
      </w:rPr>
      <w:t>Vol. 2, Issue. 1, Februari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455"/>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28D7E3F"/>
    <w:multiLevelType w:val="multilevel"/>
    <w:tmpl w:val="29B4255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FD24F7"/>
    <w:multiLevelType w:val="hybridMultilevel"/>
    <w:tmpl w:val="A73C1830"/>
    <w:lvl w:ilvl="0" w:tplc="9F4E24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162CC"/>
    <w:multiLevelType w:val="hybridMultilevel"/>
    <w:tmpl w:val="54BC03C4"/>
    <w:lvl w:ilvl="0" w:tplc="4F1AF348">
      <w:start w:val="1"/>
      <w:numFmt w:val="decimal"/>
      <w:lvlText w:val="4.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30F12B8"/>
    <w:multiLevelType w:val="hybridMultilevel"/>
    <w:tmpl w:val="C1B003CC"/>
    <w:lvl w:ilvl="0" w:tplc="095A2B1E">
      <w:start w:val="1"/>
      <w:numFmt w:val="decimal"/>
      <w:lvlText w:val="2.%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13A01"/>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1A275F"/>
    <w:multiLevelType w:val="hybridMultilevel"/>
    <w:tmpl w:val="6034439C"/>
    <w:lvl w:ilvl="0" w:tplc="6890CE0C">
      <w:start w:val="1"/>
      <w:numFmt w:val="decimal"/>
      <w:lvlText w:val="3.%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9"/>
  </w:num>
  <w:num w:numId="2" w16cid:durableId="1305157208">
    <w:abstractNumId w:val="5"/>
  </w:num>
  <w:num w:numId="3" w16cid:durableId="1407998969">
    <w:abstractNumId w:val="2"/>
  </w:num>
  <w:num w:numId="4" w16cid:durableId="1819610323">
    <w:abstractNumId w:val="1"/>
  </w:num>
  <w:num w:numId="5" w16cid:durableId="778918012">
    <w:abstractNumId w:val="7"/>
  </w:num>
  <w:num w:numId="6" w16cid:durableId="1229611707">
    <w:abstractNumId w:val="6"/>
  </w:num>
  <w:num w:numId="7" w16cid:durableId="1652556550">
    <w:abstractNumId w:val="3"/>
  </w:num>
  <w:num w:numId="8" w16cid:durableId="770901254">
    <w:abstractNumId w:val="8"/>
  </w:num>
  <w:num w:numId="9" w16cid:durableId="856624429">
    <w:abstractNumId w:val="0"/>
  </w:num>
  <w:num w:numId="10" w16cid:durableId="1560702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AUAI2Q2PCwAAAA="/>
  </w:docVars>
  <w:rsids>
    <w:rsidRoot w:val="005650A4"/>
    <w:rsid w:val="000028BC"/>
    <w:rsid w:val="000078C4"/>
    <w:rsid w:val="00022890"/>
    <w:rsid w:val="00025DB6"/>
    <w:rsid w:val="00052B92"/>
    <w:rsid w:val="00063C62"/>
    <w:rsid w:val="00092316"/>
    <w:rsid w:val="000A42D7"/>
    <w:rsid w:val="000B2849"/>
    <w:rsid w:val="000B35C6"/>
    <w:rsid w:val="000C0DD2"/>
    <w:rsid w:val="000C21B4"/>
    <w:rsid w:val="000D0F0A"/>
    <w:rsid w:val="000D7287"/>
    <w:rsid w:val="000D7C58"/>
    <w:rsid w:val="000E5900"/>
    <w:rsid w:val="001030F4"/>
    <w:rsid w:val="001051DE"/>
    <w:rsid w:val="00114C46"/>
    <w:rsid w:val="00136424"/>
    <w:rsid w:val="00144AAE"/>
    <w:rsid w:val="00145CC5"/>
    <w:rsid w:val="001571C4"/>
    <w:rsid w:val="001735CC"/>
    <w:rsid w:val="001931F8"/>
    <w:rsid w:val="001964AF"/>
    <w:rsid w:val="001B70F5"/>
    <w:rsid w:val="001C3FDB"/>
    <w:rsid w:val="001C45ED"/>
    <w:rsid w:val="001E611E"/>
    <w:rsid w:val="001E6D02"/>
    <w:rsid w:val="001F23D8"/>
    <w:rsid w:val="00216425"/>
    <w:rsid w:val="002215B6"/>
    <w:rsid w:val="002259AD"/>
    <w:rsid w:val="00260092"/>
    <w:rsid w:val="00264921"/>
    <w:rsid w:val="00277062"/>
    <w:rsid w:val="00285A43"/>
    <w:rsid w:val="002924C6"/>
    <w:rsid w:val="002A7B2A"/>
    <w:rsid w:val="002B50D8"/>
    <w:rsid w:val="002D7413"/>
    <w:rsid w:val="002E5034"/>
    <w:rsid w:val="002E5457"/>
    <w:rsid w:val="00301E29"/>
    <w:rsid w:val="003053C2"/>
    <w:rsid w:val="003159B5"/>
    <w:rsid w:val="003204D6"/>
    <w:rsid w:val="003249DF"/>
    <w:rsid w:val="00326303"/>
    <w:rsid w:val="0036502D"/>
    <w:rsid w:val="00375867"/>
    <w:rsid w:val="00396CFD"/>
    <w:rsid w:val="003C6A87"/>
    <w:rsid w:val="003C6FA0"/>
    <w:rsid w:val="00424746"/>
    <w:rsid w:val="00437227"/>
    <w:rsid w:val="00443468"/>
    <w:rsid w:val="00445C8B"/>
    <w:rsid w:val="00447AD8"/>
    <w:rsid w:val="004531A9"/>
    <w:rsid w:val="0045519C"/>
    <w:rsid w:val="004624D2"/>
    <w:rsid w:val="0047797E"/>
    <w:rsid w:val="0049472D"/>
    <w:rsid w:val="00496205"/>
    <w:rsid w:val="004963B8"/>
    <w:rsid w:val="004A17AE"/>
    <w:rsid w:val="004C4076"/>
    <w:rsid w:val="004C537E"/>
    <w:rsid w:val="004D4A87"/>
    <w:rsid w:val="004D6876"/>
    <w:rsid w:val="004E3578"/>
    <w:rsid w:val="004F61D6"/>
    <w:rsid w:val="00501F68"/>
    <w:rsid w:val="005030F7"/>
    <w:rsid w:val="0050367E"/>
    <w:rsid w:val="0052005B"/>
    <w:rsid w:val="00523041"/>
    <w:rsid w:val="00524297"/>
    <w:rsid w:val="005313C7"/>
    <w:rsid w:val="0053391A"/>
    <w:rsid w:val="005347CA"/>
    <w:rsid w:val="00547A52"/>
    <w:rsid w:val="005500F4"/>
    <w:rsid w:val="005543F0"/>
    <w:rsid w:val="00556B46"/>
    <w:rsid w:val="005650A4"/>
    <w:rsid w:val="00581264"/>
    <w:rsid w:val="00595934"/>
    <w:rsid w:val="00596AB3"/>
    <w:rsid w:val="005A2492"/>
    <w:rsid w:val="005D5C2F"/>
    <w:rsid w:val="005D6186"/>
    <w:rsid w:val="005D626C"/>
    <w:rsid w:val="005E1DC5"/>
    <w:rsid w:val="005F21AA"/>
    <w:rsid w:val="00613714"/>
    <w:rsid w:val="00617AF1"/>
    <w:rsid w:val="00646626"/>
    <w:rsid w:val="00675E55"/>
    <w:rsid w:val="00686CC0"/>
    <w:rsid w:val="00691E7B"/>
    <w:rsid w:val="006A1DDC"/>
    <w:rsid w:val="006A3707"/>
    <w:rsid w:val="006A7CD3"/>
    <w:rsid w:val="006B0C76"/>
    <w:rsid w:val="006C389F"/>
    <w:rsid w:val="006D633A"/>
    <w:rsid w:val="006E7A51"/>
    <w:rsid w:val="00702FFF"/>
    <w:rsid w:val="0071766A"/>
    <w:rsid w:val="007267A0"/>
    <w:rsid w:val="007340FD"/>
    <w:rsid w:val="00736C06"/>
    <w:rsid w:val="00751E5C"/>
    <w:rsid w:val="00753BC0"/>
    <w:rsid w:val="00761055"/>
    <w:rsid w:val="00765098"/>
    <w:rsid w:val="007672DE"/>
    <w:rsid w:val="007749EE"/>
    <w:rsid w:val="00776848"/>
    <w:rsid w:val="00783046"/>
    <w:rsid w:val="00784947"/>
    <w:rsid w:val="007A27E9"/>
    <w:rsid w:val="007D6383"/>
    <w:rsid w:val="007F3D15"/>
    <w:rsid w:val="007F3E68"/>
    <w:rsid w:val="007F4CCB"/>
    <w:rsid w:val="007F7253"/>
    <w:rsid w:val="007F76D7"/>
    <w:rsid w:val="00813B0C"/>
    <w:rsid w:val="00817C36"/>
    <w:rsid w:val="00820913"/>
    <w:rsid w:val="00825BC7"/>
    <w:rsid w:val="0084297E"/>
    <w:rsid w:val="00885266"/>
    <w:rsid w:val="0089054A"/>
    <w:rsid w:val="008A3621"/>
    <w:rsid w:val="008B49E3"/>
    <w:rsid w:val="008B5AE7"/>
    <w:rsid w:val="008E0AE5"/>
    <w:rsid w:val="008F2153"/>
    <w:rsid w:val="00912837"/>
    <w:rsid w:val="00914D83"/>
    <w:rsid w:val="00922E0E"/>
    <w:rsid w:val="00950B06"/>
    <w:rsid w:val="00966762"/>
    <w:rsid w:val="00970644"/>
    <w:rsid w:val="0099193E"/>
    <w:rsid w:val="009C2E65"/>
    <w:rsid w:val="009C3891"/>
    <w:rsid w:val="009F7AED"/>
    <w:rsid w:val="00A070C8"/>
    <w:rsid w:val="00A3453D"/>
    <w:rsid w:val="00A44F9A"/>
    <w:rsid w:val="00A475B4"/>
    <w:rsid w:val="00A67F58"/>
    <w:rsid w:val="00A70A1E"/>
    <w:rsid w:val="00A75746"/>
    <w:rsid w:val="00A86DD4"/>
    <w:rsid w:val="00AC3E57"/>
    <w:rsid w:val="00AC538B"/>
    <w:rsid w:val="00AD4153"/>
    <w:rsid w:val="00AE034E"/>
    <w:rsid w:val="00AE1306"/>
    <w:rsid w:val="00AF6096"/>
    <w:rsid w:val="00B003F0"/>
    <w:rsid w:val="00B1137F"/>
    <w:rsid w:val="00B210F6"/>
    <w:rsid w:val="00B26282"/>
    <w:rsid w:val="00B333D4"/>
    <w:rsid w:val="00B40987"/>
    <w:rsid w:val="00B50B5C"/>
    <w:rsid w:val="00B67B0B"/>
    <w:rsid w:val="00B712B7"/>
    <w:rsid w:val="00B7232A"/>
    <w:rsid w:val="00B7756E"/>
    <w:rsid w:val="00B80FF1"/>
    <w:rsid w:val="00B830A2"/>
    <w:rsid w:val="00BB5818"/>
    <w:rsid w:val="00BF558E"/>
    <w:rsid w:val="00C0416C"/>
    <w:rsid w:val="00C103E5"/>
    <w:rsid w:val="00C12DFC"/>
    <w:rsid w:val="00C17760"/>
    <w:rsid w:val="00C26FFB"/>
    <w:rsid w:val="00C27F06"/>
    <w:rsid w:val="00C450FE"/>
    <w:rsid w:val="00C7396C"/>
    <w:rsid w:val="00C92015"/>
    <w:rsid w:val="00CA1C6B"/>
    <w:rsid w:val="00CB2623"/>
    <w:rsid w:val="00CE2213"/>
    <w:rsid w:val="00CE4948"/>
    <w:rsid w:val="00CE6F01"/>
    <w:rsid w:val="00CE7F70"/>
    <w:rsid w:val="00CF7EC4"/>
    <w:rsid w:val="00D02753"/>
    <w:rsid w:val="00D02DBC"/>
    <w:rsid w:val="00D074E8"/>
    <w:rsid w:val="00D32F01"/>
    <w:rsid w:val="00D34E4D"/>
    <w:rsid w:val="00D623C7"/>
    <w:rsid w:val="00D74F25"/>
    <w:rsid w:val="00D84F48"/>
    <w:rsid w:val="00DA0228"/>
    <w:rsid w:val="00DA7AD6"/>
    <w:rsid w:val="00DC3EFC"/>
    <w:rsid w:val="00DD3E8A"/>
    <w:rsid w:val="00DD455D"/>
    <w:rsid w:val="00E17944"/>
    <w:rsid w:val="00E410BF"/>
    <w:rsid w:val="00E505A6"/>
    <w:rsid w:val="00E628A0"/>
    <w:rsid w:val="00E63BD0"/>
    <w:rsid w:val="00E705B8"/>
    <w:rsid w:val="00E709A5"/>
    <w:rsid w:val="00E70EBC"/>
    <w:rsid w:val="00E75EBA"/>
    <w:rsid w:val="00E84806"/>
    <w:rsid w:val="00E95657"/>
    <w:rsid w:val="00EA2986"/>
    <w:rsid w:val="00EA6BFE"/>
    <w:rsid w:val="00EB511F"/>
    <w:rsid w:val="00EC0A0F"/>
    <w:rsid w:val="00EC0FE8"/>
    <w:rsid w:val="00EC7FE3"/>
    <w:rsid w:val="00ED544A"/>
    <w:rsid w:val="00EE3405"/>
    <w:rsid w:val="00F03310"/>
    <w:rsid w:val="00F146CE"/>
    <w:rsid w:val="00F26168"/>
    <w:rsid w:val="00F27D05"/>
    <w:rsid w:val="00F355EB"/>
    <w:rsid w:val="00F441FD"/>
    <w:rsid w:val="00F51116"/>
    <w:rsid w:val="00F67B60"/>
    <w:rsid w:val="00F73936"/>
    <w:rsid w:val="00F74CE5"/>
    <w:rsid w:val="00F80500"/>
    <w:rsid w:val="00F901BC"/>
    <w:rsid w:val="00F97FF3"/>
    <w:rsid w:val="00FA3B3C"/>
    <w:rsid w:val="00FB1A35"/>
    <w:rsid w:val="00FB2465"/>
    <w:rsid w:val="00FB609C"/>
    <w:rsid w:val="00FD60D2"/>
    <w:rsid w:val="00FE051A"/>
    <w:rsid w:val="00FE0778"/>
    <w:rsid w:val="2C8FD808"/>
    <w:rsid w:val="3DBFC16A"/>
    <w:rsid w:val="4EFFC72C"/>
    <w:rsid w:val="73FF4E0D"/>
    <w:rsid w:val="7F3B593B"/>
    <w:rsid w:val="ED3F0F0C"/>
    <w:rsid w:val="F7E75899"/>
    <w:rsid w:val="F93F5A64"/>
    <w:rsid w:val="FBEBE8A2"/>
    <w:rsid w:val="FBFBA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4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 w:type="character" w:styleId="FollowedHyperlink">
    <w:name w:val="FollowedHyperlink"/>
    <w:basedOn w:val="DefaultParagraphFont"/>
    <w:uiPriority w:val="99"/>
    <w:semiHidden/>
    <w:unhideWhenUsed/>
    <w:rsid w:val="00ED544A"/>
    <w:rPr>
      <w:color w:val="954F72" w:themeColor="followedHyperlink"/>
      <w:u w:val="single"/>
    </w:rPr>
  </w:style>
  <w:style w:type="character" w:styleId="UnresolvedMention">
    <w:name w:val="Unresolved Mention"/>
    <w:basedOn w:val="DefaultParagraphFont"/>
    <w:uiPriority w:val="99"/>
    <w:semiHidden/>
    <w:unhideWhenUsed/>
    <w:rsid w:val="00ED544A"/>
    <w:rPr>
      <w:color w:val="605E5C"/>
      <w:shd w:val="clear" w:color="auto" w:fill="E1DFDD"/>
    </w:rPr>
  </w:style>
  <w:style w:type="paragraph" w:customStyle="1" w:styleId="ANAMETN">
    <w:name w:val="ANA METİN"/>
    <w:basedOn w:val="Normal"/>
    <w:uiPriority w:val="99"/>
    <w:rsid w:val="0099193E"/>
    <w:pPr>
      <w:suppressAutoHyphens/>
      <w:autoSpaceDE w:val="0"/>
      <w:autoSpaceDN w:val="0"/>
      <w:adjustRightInd w:val="0"/>
      <w:spacing w:after="85" w:line="288" w:lineRule="auto"/>
      <w:jc w:val="both"/>
      <w:textAlignment w:val="center"/>
    </w:pPr>
    <w:rPr>
      <w:rFonts w:ascii="Adobe Garamond Pro" w:eastAsia="Times New Roman" w:hAnsi="Adobe Garamond Pro" w:cs="Adobe Garamond Pro"/>
      <w:color w:val="000000"/>
      <w:lang w:eastAsia="tr-TR"/>
    </w:rPr>
  </w:style>
  <w:style w:type="paragraph" w:styleId="BodyText">
    <w:name w:val="Body Text"/>
    <w:basedOn w:val="Normal"/>
    <w:link w:val="BodyTextChar"/>
    <w:uiPriority w:val="1"/>
    <w:qFormat/>
    <w:rsid w:val="002B50D8"/>
    <w:pPr>
      <w:widowControl w:val="0"/>
      <w:autoSpaceDE w:val="0"/>
      <w:autoSpaceDN w:val="0"/>
      <w:spacing w:after="0" w:line="240" w:lineRule="auto"/>
      <w:ind w:left="26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B50D8"/>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rsid w:val="00CB2623"/>
    <w:pPr>
      <w:spacing w:after="200" w:line="240" w:lineRule="auto"/>
    </w:pPr>
    <w:rPr>
      <w:i/>
      <w:iCs/>
      <w:color w:val="44546A" w:themeColor="text2"/>
      <w:kern w:val="2"/>
      <w:sz w:val="18"/>
      <w:szCs w:val="18"/>
      <w14:ligatures w14:val="standardContextual"/>
    </w:rPr>
  </w:style>
  <w:style w:type="table" w:styleId="PlainTable2">
    <w:name w:val="Plain Table 2"/>
    <w:basedOn w:val="TableNormal"/>
    <w:uiPriority w:val="42"/>
    <w:rsid w:val="005D61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5D618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D61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228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228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B5AE7"/>
    <w:rPr>
      <w:sz w:val="16"/>
      <w:szCs w:val="16"/>
    </w:rPr>
  </w:style>
  <w:style w:type="paragraph" w:styleId="CommentText">
    <w:name w:val="annotation text"/>
    <w:basedOn w:val="Normal"/>
    <w:link w:val="CommentTextChar"/>
    <w:uiPriority w:val="99"/>
    <w:unhideWhenUsed/>
    <w:rsid w:val="008B5AE7"/>
    <w:pPr>
      <w:spacing w:line="240" w:lineRule="auto"/>
    </w:pPr>
    <w:rPr>
      <w:sz w:val="20"/>
      <w:szCs w:val="20"/>
    </w:rPr>
  </w:style>
  <w:style w:type="character" w:customStyle="1" w:styleId="CommentTextChar">
    <w:name w:val="Comment Text Char"/>
    <w:basedOn w:val="DefaultParagraphFont"/>
    <w:link w:val="CommentText"/>
    <w:uiPriority w:val="99"/>
    <w:rsid w:val="008B5AE7"/>
  </w:style>
  <w:style w:type="paragraph" w:styleId="CommentSubject">
    <w:name w:val="annotation subject"/>
    <w:basedOn w:val="CommentText"/>
    <w:next w:val="CommentText"/>
    <w:link w:val="CommentSubjectChar"/>
    <w:uiPriority w:val="99"/>
    <w:semiHidden/>
    <w:unhideWhenUsed/>
    <w:rsid w:val="008B5AE7"/>
    <w:rPr>
      <w:b/>
      <w:bCs/>
    </w:rPr>
  </w:style>
  <w:style w:type="character" w:customStyle="1" w:styleId="CommentSubjectChar">
    <w:name w:val="Comment Subject Char"/>
    <w:basedOn w:val="CommentTextChar"/>
    <w:link w:val="CommentSubject"/>
    <w:uiPriority w:val="99"/>
    <w:semiHidden/>
    <w:rsid w:val="008B5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almoilmagazine.com/sustainability/2025/04/22/indonesia-records-175-4-thousand-hectares-of-deforestation-in-2024-forestry-ministry-accelerates-rehabilitation-efforts/" TargetMode="External"/><Relationship Id="rId18" Type="http://schemas.openxmlformats.org/officeDocument/2006/relationships/hyperlink" Target="https://www.sei.org/features/indonesian-palm-oil-exports-and-deforestation/?utm_source=chatgpt.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apnews.com/article/48a4503e383a52e4dbbee81209c87887?utm_source=chatgpt.com" TargetMode="External"/><Relationship Id="rId2" Type="http://schemas.openxmlformats.org/officeDocument/2006/relationships/customXml" Target="../customXml/item2.xml"/><Relationship Id="rId16" Type="http://schemas.openxmlformats.org/officeDocument/2006/relationships/hyperlink" Target="https://www.newsecuritybeat.org/2024/10/a-decade-of-progress-on-palm-oil-deforestation-at-risk-in-indonesia/?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lmoilina.asia/sawit-hub/isu-sawit-dalam-deforestasi/"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nusantara-atlas.org/indonesias-primary-forest-loss-slows-in-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336ED9088D58551/Documents/Semester%207/Laporan%20keberlanjutan%20dan%20audit%20lingkungan/Literature_Review_Palm_Oil_Deforestatio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561123077639875E-2"/>
          <c:y val="7.7294772115749685E-2"/>
          <c:w val="0.88737799079462898"/>
          <c:h val="0.77972130295307285"/>
        </c:manualLayout>
      </c:layout>
      <c:lineChart>
        <c:grouping val="standard"/>
        <c:varyColors val="0"/>
        <c:ser>
          <c:idx val="0"/>
          <c:order val="0"/>
          <c:tx>
            <c:strRef>
              <c:f>Sheet2!$K$62</c:f>
              <c:strCache>
                <c:ptCount val="1"/>
                <c:pt idx="0">
                  <c:v>Jumlah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dobe Garamond Pro"/>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Sheet2!$J$63:$J$65</c:f>
              <c:strCache>
                <c:ptCount val="3"/>
                <c:pt idx="0">
                  <c:v>2007-2015</c:v>
                </c:pt>
                <c:pt idx="1">
                  <c:v>2016–2020</c:v>
                </c:pt>
                <c:pt idx="2">
                  <c:v>2021–2025</c:v>
                </c:pt>
              </c:strCache>
            </c:strRef>
          </c:cat>
          <c:val>
            <c:numRef>
              <c:f>Sheet2!$K$63:$K$65</c:f>
              <c:numCache>
                <c:formatCode>General</c:formatCode>
                <c:ptCount val="3"/>
                <c:pt idx="0">
                  <c:v>19</c:v>
                </c:pt>
                <c:pt idx="1">
                  <c:v>26</c:v>
                </c:pt>
                <c:pt idx="2">
                  <c:v>42</c:v>
                </c:pt>
              </c:numCache>
            </c:numRef>
          </c:val>
          <c:smooth val="0"/>
          <c:extLst>
            <c:ext xmlns:c16="http://schemas.microsoft.com/office/drawing/2014/chart" uri="{C3380CC4-5D6E-409C-BE32-E72D297353CC}">
              <c16:uniqueId val="{00000000-451B-4FEA-925C-8F974F7B7C9A}"/>
            </c:ext>
          </c:extLst>
        </c:ser>
        <c:dLbls>
          <c:dLblPos val="t"/>
          <c:showLegendKey val="0"/>
          <c:showVal val="1"/>
          <c:showCatName val="0"/>
          <c:showSerName val="0"/>
          <c:showPercent val="0"/>
          <c:showBubbleSize val="0"/>
        </c:dLbls>
        <c:marker val="1"/>
        <c:smooth val="0"/>
        <c:axId val="1852431503"/>
        <c:axId val="1852429103"/>
      </c:lineChart>
      <c:catAx>
        <c:axId val="1852431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dobe Garamond Pro"/>
                <a:ea typeface="+mn-ea"/>
                <a:cs typeface="+mn-cs"/>
              </a:defRPr>
            </a:pPr>
            <a:endParaRPr lang="en-US"/>
          </a:p>
        </c:txPr>
        <c:crossAx val="1852429103"/>
        <c:crosses val="autoZero"/>
        <c:auto val="1"/>
        <c:lblAlgn val="ctr"/>
        <c:lblOffset val="100"/>
        <c:noMultiLvlLbl val="0"/>
      </c:catAx>
      <c:valAx>
        <c:axId val="1852429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dobe Garamond Pro"/>
                <a:ea typeface="+mn-ea"/>
                <a:cs typeface="+mn-cs"/>
              </a:defRPr>
            </a:pPr>
            <a:endParaRPr lang="en-US"/>
          </a:p>
        </c:txPr>
        <c:crossAx val="1852431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F9FDB77-155E-4428-A44D-E12984D600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14812</Words>
  <Characters>84431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HP2</dc:creator>
  <cp:lastModifiedBy>NXKEXSN00630106F882N00@hotmail.com</cp:lastModifiedBy>
  <cp:revision>3</cp:revision>
  <cp:lastPrinted>2018-10-25T11:37:00Z</cp:lastPrinted>
  <dcterms:created xsi:type="dcterms:W3CDTF">2026-02-17T17:17:00Z</dcterms:created>
  <dcterms:modified xsi:type="dcterms:W3CDTF">2026-02-19T14:56:00Z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ies>
</file>